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6ABCF97" w14:textId="77777777" w:rsidR="00B960CB" w:rsidRDefault="00846CE0">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#97</w:t>
      </w:r>
      <w:r>
        <w:rPr>
          <w:rFonts w:ascii="Arial" w:hAnsi="Arial" w:cs="Arial"/>
          <w:b/>
          <w:bCs/>
          <w:sz w:val="22"/>
          <w:szCs w:val="22"/>
        </w:rPr>
        <w:tab/>
      </w:r>
      <w:r>
        <w:rPr>
          <w:rFonts w:ascii="Arial" w:hAnsi="Arial" w:cs="Arial"/>
          <w:b/>
          <w:bCs/>
          <w:sz w:val="22"/>
          <w:szCs w:val="22"/>
        </w:rPr>
        <w:tab/>
        <w:t>R1-190</w:t>
      </w:r>
      <w:r>
        <w:rPr>
          <w:rFonts w:ascii="Arial" w:hAnsi="Arial" w:cs="Arial" w:hint="eastAsia"/>
          <w:b/>
          <w:bCs/>
          <w:sz w:val="22"/>
          <w:szCs w:val="22"/>
        </w:rPr>
        <w:t>6491</w:t>
      </w:r>
    </w:p>
    <w:p w14:paraId="0847914D" w14:textId="77777777" w:rsidR="00B960CB" w:rsidRDefault="00846CE0">
      <w:pPr>
        <w:tabs>
          <w:tab w:val="center" w:pos="4536"/>
          <w:tab w:val="right" w:pos="9639"/>
        </w:tabs>
        <w:spacing w:beforeLines="0" w:after="120"/>
        <w:ind w:right="2"/>
        <w:rPr>
          <w:rFonts w:ascii="Arial" w:hAnsi="Arial" w:cs="Arial"/>
          <w:b/>
          <w:bCs/>
          <w:sz w:val="22"/>
          <w:szCs w:val="22"/>
        </w:rPr>
      </w:pPr>
      <w:r>
        <w:rPr>
          <w:rFonts w:ascii="Arial" w:eastAsiaTheme="minorEastAsia" w:hAnsi="Arial" w:cs="Arial" w:hint="eastAsia"/>
          <w:b/>
          <w:bCs/>
          <w:sz w:val="22"/>
          <w:szCs w:val="22"/>
        </w:rPr>
        <w:t>Reno, USA, May 13</w:t>
      </w:r>
      <w:r>
        <w:rPr>
          <w:rFonts w:ascii="Arial" w:eastAsia="MS Mincho" w:hAnsi="Arial" w:cs="Arial"/>
          <w:b/>
          <w:bCs/>
          <w:sz w:val="22"/>
          <w:szCs w:val="22"/>
          <w:vertAlign w:val="superscript"/>
          <w:lang w:eastAsia="ja-JP"/>
        </w:rPr>
        <w:t>t</w:t>
      </w:r>
      <w:r>
        <w:rPr>
          <w:rFonts w:ascii="Arial" w:eastAsiaTheme="minorEastAsia" w:hAnsi="Arial" w:cs="Arial" w:hint="eastAsia"/>
          <w:b/>
          <w:bCs/>
          <w:sz w:val="22"/>
          <w:szCs w:val="22"/>
          <w:vertAlign w:val="superscript"/>
        </w:rPr>
        <w:t>h</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rPr>
        <w:t xml:space="preserve"> 17</w:t>
      </w:r>
      <w:r>
        <w:rPr>
          <w:rFonts w:ascii="Arial" w:eastAsiaTheme="minorEastAsia" w:hAnsi="Arial" w:cs="Arial" w:hint="eastAsia"/>
          <w:b/>
          <w:bCs/>
          <w:sz w:val="22"/>
          <w:szCs w:val="22"/>
          <w:vertAlign w:val="superscript"/>
        </w:rPr>
        <w:t>th</w:t>
      </w:r>
      <w:r>
        <w:rPr>
          <w:rFonts w:ascii="Arial" w:eastAsia="MS Mincho" w:hAnsi="Arial" w:cs="Arial"/>
          <w:b/>
          <w:bCs/>
          <w:sz w:val="22"/>
          <w:szCs w:val="22"/>
          <w:lang w:eastAsia="ja-JP"/>
        </w:rPr>
        <w:t>,</w:t>
      </w:r>
      <w:r>
        <w:rPr>
          <w:rFonts w:ascii="Arial" w:hAnsi="Arial" w:cs="Arial" w:hint="eastAsia"/>
          <w:b/>
          <w:bCs/>
          <w:sz w:val="22"/>
          <w:szCs w:val="22"/>
          <w:lang w:eastAsia="ja-JP"/>
        </w:rPr>
        <w:t xml:space="preserve"> 201</w:t>
      </w:r>
      <w:r>
        <w:rPr>
          <w:rFonts w:ascii="Arial" w:hAnsi="Arial" w:cs="Arial" w:hint="eastAsia"/>
          <w:b/>
          <w:bCs/>
          <w:sz w:val="22"/>
          <w:szCs w:val="22"/>
        </w:rPr>
        <w:t>9</w:t>
      </w:r>
    </w:p>
    <w:p w14:paraId="3C9DE85A" w14:textId="77777777" w:rsidR="00B960CB" w:rsidRDefault="00846CE0">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R</w:t>
      </w:r>
      <w:r>
        <w:rPr>
          <w:rFonts w:ascii="Arial" w:hAnsi="Arial" w:hint="eastAsia"/>
          <w:b/>
          <w:sz w:val="22"/>
          <w:szCs w:val="22"/>
        </w:rPr>
        <w:t xml:space="preserve">esource multiplexing </w:t>
      </w:r>
      <w:r>
        <w:rPr>
          <w:rFonts w:ascii="Arial" w:hAnsi="Arial"/>
          <w:b/>
          <w:sz w:val="22"/>
          <w:szCs w:val="22"/>
        </w:rPr>
        <w:t>between</w:t>
      </w:r>
      <w:r>
        <w:rPr>
          <w:rFonts w:ascii="Arial" w:hAnsi="Arial" w:hint="eastAsia"/>
          <w:b/>
          <w:sz w:val="22"/>
          <w:szCs w:val="22"/>
        </w:rPr>
        <w:t xml:space="preserve"> backhaul and access link</w:t>
      </w:r>
      <w:r>
        <w:rPr>
          <w:rFonts w:ascii="Arial" w:hAnsi="Arial"/>
          <w:b/>
          <w:sz w:val="22"/>
          <w:szCs w:val="22"/>
        </w:rPr>
        <w:t>s</w:t>
      </w:r>
    </w:p>
    <w:p w14:paraId="10E79313" w14:textId="77777777" w:rsidR="00B960CB" w:rsidRDefault="00846CE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14:paraId="1F01F33B" w14:textId="77777777" w:rsidR="00B960CB" w:rsidRDefault="00846CE0">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cs="Arial" w:hint="eastAsia"/>
          <w:b/>
          <w:bCs/>
          <w:sz w:val="22"/>
          <w:szCs w:val="22"/>
        </w:rPr>
        <w:t>7.2.3.3</w:t>
      </w:r>
    </w:p>
    <w:p w14:paraId="28DCE22C" w14:textId="77777777" w:rsidR="00B960CB" w:rsidRDefault="00846CE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3CDD6D41" w14:textId="77777777" w:rsidR="00B960CB" w:rsidRDefault="00846CE0">
      <w:pPr>
        <w:pStyle w:val="Heading1"/>
        <w:spacing w:before="120" w:after="120"/>
        <w:ind w:left="0"/>
        <w:rPr>
          <w:rFonts w:eastAsia="SimSun"/>
        </w:rPr>
      </w:pPr>
      <w:r>
        <w:rPr>
          <w:rFonts w:eastAsia="SimSun" w:hint="eastAsia"/>
        </w:rPr>
        <w:t>Introduction</w:t>
      </w:r>
    </w:p>
    <w:p w14:paraId="15B52418" w14:textId="77777777" w:rsidR="00B960CB" w:rsidRDefault="00846CE0">
      <w:pPr>
        <w:spacing w:before="120" w:after="120"/>
        <w:rPr>
          <w:sz w:val="20"/>
        </w:rPr>
      </w:pPr>
      <w:r>
        <w:rPr>
          <w:rFonts w:hint="eastAsia"/>
          <w:sz w:val="20"/>
        </w:rPr>
        <w:t>This contribution provides our views on resource multiplexing between backhaul and access links</w:t>
      </w:r>
      <w:r>
        <w:rPr>
          <w:sz w:val="20"/>
        </w:rPr>
        <w:t>, based on</w:t>
      </w:r>
      <w:r>
        <w:rPr>
          <w:rFonts w:hint="eastAsia"/>
          <w:sz w:val="20"/>
        </w:rPr>
        <w:t xml:space="preserve"> the agreements reached before</w:t>
      </w:r>
      <w:r>
        <w:rPr>
          <w:sz w:val="20"/>
        </w:rPr>
        <w:t>.</w:t>
      </w:r>
    </w:p>
    <w:p w14:paraId="61365926" w14:textId="77777777" w:rsidR="00B960CB" w:rsidRDefault="00846CE0">
      <w:pPr>
        <w:pStyle w:val="Heading1"/>
        <w:spacing w:before="120" w:after="120"/>
        <w:ind w:left="0"/>
      </w:pPr>
      <w:r>
        <w:rPr>
          <w:rFonts w:eastAsia="SimHei" w:hint="eastAsia"/>
          <w:szCs w:val="30"/>
        </w:rPr>
        <w:t xml:space="preserve">NA or </w:t>
      </w:r>
      <w:r>
        <w:rPr>
          <w:rFonts w:eastAsia="SimHei"/>
          <w:szCs w:val="30"/>
        </w:rPr>
        <w:t>s</w:t>
      </w:r>
      <w:r>
        <w:rPr>
          <w:rFonts w:eastAsia="SimHei" w:hint="eastAsia"/>
          <w:szCs w:val="30"/>
        </w:rPr>
        <w:t>oft resources</w:t>
      </w:r>
      <w:r>
        <w:rPr>
          <w:rFonts w:eastAsia="SimHei"/>
          <w:szCs w:val="30"/>
        </w:rPr>
        <w:t xml:space="preserve"> with cell-specific signals/channels</w:t>
      </w:r>
    </w:p>
    <w:p w14:paraId="7D06FBFD" w14:textId="77777777" w:rsidR="00B960CB" w:rsidRDefault="00846CE0">
      <w:pPr>
        <w:autoSpaceDE w:val="0"/>
        <w:autoSpaceDN w:val="0"/>
        <w:adjustRightInd w:val="0"/>
        <w:snapToGrid w:val="0"/>
        <w:spacing w:before="120" w:after="120"/>
        <w:rPr>
          <w:sz w:val="20"/>
        </w:rPr>
      </w:pPr>
      <w:r>
        <w:rPr>
          <w:sz w:val="20"/>
        </w:rPr>
        <w:t>Regarding to</w:t>
      </w:r>
      <w:r>
        <w:rPr>
          <w:rFonts w:hint="eastAsia"/>
          <w:sz w:val="20"/>
        </w:rPr>
        <w:t xml:space="preserve"> whether </w:t>
      </w:r>
      <w:r>
        <w:rPr>
          <w:sz w:val="20"/>
        </w:rPr>
        <w:t xml:space="preserve">the </w:t>
      </w:r>
      <w:r>
        <w:rPr>
          <w:rFonts w:hint="eastAsia"/>
          <w:sz w:val="20"/>
        </w:rPr>
        <w:t xml:space="preserve">DU resources </w:t>
      </w:r>
      <w:r>
        <w:rPr>
          <w:sz w:val="20"/>
        </w:rPr>
        <w:t xml:space="preserve">of type </w:t>
      </w:r>
      <w:r>
        <w:rPr>
          <w:rFonts w:hint="eastAsia"/>
          <w:sz w:val="20"/>
        </w:rPr>
        <w:t>NA or Soft INA can be used for cell-specific signals/channels</w:t>
      </w:r>
      <w:r>
        <w:rPr>
          <w:sz w:val="20"/>
        </w:rPr>
        <w:t>,</w:t>
      </w:r>
      <w:r>
        <w:rPr>
          <w:rFonts w:hint="eastAsia"/>
          <w:sz w:val="20"/>
        </w:rPr>
        <w:t xml:space="preserve"> </w:t>
      </w:r>
      <w:r>
        <w:rPr>
          <w:sz w:val="20"/>
        </w:rPr>
        <w:t>t</w:t>
      </w:r>
      <w:r>
        <w:rPr>
          <w:rFonts w:hint="eastAsia"/>
          <w:sz w:val="20"/>
        </w:rPr>
        <w:t xml:space="preserve">wo alternatives </w:t>
      </w:r>
      <w:r>
        <w:rPr>
          <w:sz w:val="20"/>
        </w:rPr>
        <w:t xml:space="preserve">established in RAN1 #96bis </w:t>
      </w:r>
      <w:r>
        <w:rPr>
          <w:rFonts w:hint="eastAsia"/>
          <w:sz w:val="20"/>
        </w:rPr>
        <w:t xml:space="preserve">are to </w:t>
      </w:r>
      <w:r>
        <w:rPr>
          <w:sz w:val="20"/>
        </w:rPr>
        <w:t xml:space="preserve">be </w:t>
      </w:r>
      <w:r>
        <w:rPr>
          <w:rFonts w:hint="eastAsia"/>
          <w:sz w:val="20"/>
        </w:rPr>
        <w:t>down-selected [1]:</w:t>
      </w:r>
    </w:p>
    <w:p w14:paraId="0FFE1C6A" w14:textId="77777777" w:rsidR="00B960CB" w:rsidRDefault="00846CE0">
      <w:pPr>
        <w:autoSpaceDE w:val="0"/>
        <w:autoSpaceDN w:val="0"/>
        <w:adjustRightInd w:val="0"/>
        <w:snapToGrid w:val="0"/>
        <w:spacing w:before="120" w:after="120"/>
        <w:ind w:left="360"/>
        <w:rPr>
          <w:i/>
          <w:strike/>
          <w:sz w:val="20"/>
        </w:rPr>
      </w:pPr>
      <w:r>
        <w:rPr>
          <w:i/>
          <w:sz w:val="20"/>
          <w:highlight w:val="green"/>
        </w:rPr>
        <w:t>Agreements</w:t>
      </w:r>
      <w:r>
        <w:rPr>
          <w:i/>
          <w:sz w:val="20"/>
        </w:rPr>
        <w:t xml:space="preserve"> (RAN1 #96bis):</w:t>
      </w:r>
    </w:p>
    <w:p w14:paraId="2294B998" w14:textId="77777777" w:rsidR="00B960CB" w:rsidRDefault="00846CE0">
      <w:pPr>
        <w:numPr>
          <w:ilvl w:val="0"/>
          <w:numId w:val="6"/>
        </w:numPr>
        <w:autoSpaceDE w:val="0"/>
        <w:autoSpaceDN w:val="0"/>
        <w:adjustRightInd w:val="0"/>
        <w:snapToGrid w:val="0"/>
        <w:spacing w:before="120" w:after="120"/>
        <w:ind w:left="726" w:hanging="363"/>
        <w:rPr>
          <w:i/>
          <w:sz w:val="20"/>
        </w:rPr>
      </w:pPr>
      <w:r>
        <w:rPr>
          <w:i/>
          <w:sz w:val="20"/>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3EA0C0B4" w14:textId="77777777" w:rsidR="00B960CB" w:rsidRDefault="00846CE0">
      <w:pPr>
        <w:numPr>
          <w:ilvl w:val="1"/>
          <w:numId w:val="6"/>
        </w:numPr>
        <w:autoSpaceDE w:val="0"/>
        <w:autoSpaceDN w:val="0"/>
        <w:adjustRightInd w:val="0"/>
        <w:snapToGrid w:val="0"/>
        <w:spacing w:before="120" w:after="120"/>
        <w:ind w:left="1446" w:hanging="363"/>
        <w:rPr>
          <w:i/>
          <w:sz w:val="20"/>
        </w:rPr>
      </w:pPr>
      <w:r>
        <w:rPr>
          <w:i/>
          <w:sz w:val="20"/>
        </w:rPr>
        <w:t xml:space="preserve">Alt 1): A resource with cell-specific signals/channels configured at DU shall not be configured as type NA or Soft without being Indicated Available. </w:t>
      </w:r>
    </w:p>
    <w:p w14:paraId="380D93FB" w14:textId="77777777" w:rsidR="00B960CB" w:rsidRDefault="00846CE0">
      <w:pPr>
        <w:numPr>
          <w:ilvl w:val="1"/>
          <w:numId w:val="6"/>
        </w:numPr>
        <w:autoSpaceDE w:val="0"/>
        <w:autoSpaceDN w:val="0"/>
        <w:adjustRightInd w:val="0"/>
        <w:snapToGrid w:val="0"/>
        <w:spacing w:before="120" w:after="120"/>
        <w:ind w:left="1446" w:hanging="363"/>
        <w:rPr>
          <w:i/>
          <w:sz w:val="20"/>
        </w:rPr>
      </w:pPr>
      <w:r>
        <w:rPr>
          <w:i/>
          <w:sz w:val="20"/>
        </w:rPr>
        <w:t>Alt 2): If a DU NA or Soft resource is configured with cell-specific signals/channels, the resource is treated as if it were a Hard DU resource.</w:t>
      </w:r>
    </w:p>
    <w:p w14:paraId="7BF2CECF" w14:textId="77777777" w:rsidR="00B960CB" w:rsidRDefault="00846CE0">
      <w:pPr>
        <w:autoSpaceDE w:val="0"/>
        <w:autoSpaceDN w:val="0"/>
        <w:adjustRightInd w:val="0"/>
        <w:snapToGrid w:val="0"/>
        <w:spacing w:before="120" w:after="120"/>
        <w:jc w:val="center"/>
      </w:pPr>
      <w:r>
        <w:object w:dxaOrig="6406" w:dyaOrig="3737" w14:anchorId="293A0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65pt;height:186.7pt" o:ole="">
            <v:imagedata r:id="rId8" o:title=""/>
          </v:shape>
          <o:OLEObject Type="Embed" ProgID="Visio.Drawing.11" ShapeID="_x0000_i1025" DrawAspect="Content" ObjectID="_1618366455" r:id="rId9"/>
        </w:object>
      </w:r>
    </w:p>
    <w:p w14:paraId="609E08E5" w14:textId="77777777" w:rsidR="00B960CB" w:rsidRDefault="00846CE0">
      <w:pPr>
        <w:autoSpaceDE w:val="0"/>
        <w:autoSpaceDN w:val="0"/>
        <w:adjustRightInd w:val="0"/>
        <w:snapToGrid w:val="0"/>
        <w:spacing w:before="120" w:after="120"/>
        <w:jc w:val="center"/>
        <w:rPr>
          <w:sz w:val="20"/>
        </w:rPr>
      </w:pPr>
      <w:r>
        <w:rPr>
          <w:rFonts w:hint="eastAsia"/>
          <w:sz w:val="20"/>
        </w:rPr>
        <w:t>Figure 1 operation conflict between parent DU and child DU</w:t>
      </w:r>
    </w:p>
    <w:p w14:paraId="29C8122C" w14:textId="77777777" w:rsidR="00B960CB" w:rsidRDefault="00846CE0">
      <w:pPr>
        <w:pStyle w:val="ListParagraph"/>
        <w:autoSpaceDE w:val="0"/>
        <w:autoSpaceDN w:val="0"/>
        <w:adjustRightInd w:val="0"/>
        <w:spacing w:before="120" w:after="120"/>
        <w:ind w:left="0"/>
        <w:contextualSpacing w:val="0"/>
        <w:rPr>
          <w:sz w:val="20"/>
        </w:rPr>
      </w:pPr>
      <w:r>
        <w:rPr>
          <w:sz w:val="20"/>
        </w:rPr>
        <w:t xml:space="preserve">Basically both the two alternatives state that the cell-specific signals/channels cannot live on DU resources marked as type NA or soft INA. The difference between the two is that, alt-1) denies the problematic configuration combination while alt-2) automatically converts the problematic configuration combination to a different one. </w:t>
      </w:r>
    </w:p>
    <w:p w14:paraId="7B6DDD06" w14:textId="77777777" w:rsidR="00B960CB" w:rsidRDefault="00846CE0">
      <w:pPr>
        <w:pStyle w:val="ListParagraph"/>
        <w:autoSpaceDE w:val="0"/>
        <w:autoSpaceDN w:val="0"/>
        <w:adjustRightInd w:val="0"/>
        <w:spacing w:before="120" w:after="120"/>
        <w:ind w:left="0"/>
        <w:contextualSpacing w:val="0"/>
        <w:rPr>
          <w:sz w:val="20"/>
        </w:rPr>
      </w:pPr>
      <w:r>
        <w:rPr>
          <w:rFonts w:hint="eastAsia"/>
          <w:sz w:val="20"/>
        </w:rPr>
        <w:lastRenderedPageBreak/>
        <w:t>The alt 2) may cause operation conflict between parent DU and child DU</w:t>
      </w:r>
      <w:r>
        <w:rPr>
          <w:sz w:val="20"/>
        </w:rPr>
        <w:t xml:space="preserve">. As shown in Figure 1, the parent DU resources of type Soft Available or Hard align to the child DU resources of type Soft INA or NA so that the child MT communicates with the parent on these resources; however, the cell-specific signals/channels on the corresponding child DU resources would have two consequences: </w:t>
      </w:r>
    </w:p>
    <w:p w14:paraId="40C5347A" w14:textId="77777777" w:rsidR="00B960CB" w:rsidRDefault="00846CE0">
      <w:pPr>
        <w:pStyle w:val="ListParagraph"/>
        <w:numPr>
          <w:ilvl w:val="0"/>
          <w:numId w:val="7"/>
        </w:numPr>
        <w:autoSpaceDE w:val="0"/>
        <w:autoSpaceDN w:val="0"/>
        <w:adjustRightInd w:val="0"/>
        <w:snapToGrid w:val="0"/>
        <w:spacing w:before="120" w:after="120"/>
        <w:rPr>
          <w:sz w:val="20"/>
        </w:rPr>
      </w:pPr>
      <w:r>
        <w:rPr>
          <w:sz w:val="20"/>
        </w:rPr>
        <w:t xml:space="preserve">These child DU resources are converted from Soft INA or NA to Hard according to the principle of alt 2). In other words, child node is provided with a mechanism to overrule the DU resource configuration determined by the network (CU), which is in our view unnecessary and against the original design logic when RAN1 agrees that Hard, Soft and NA resource types on DU side are all configured by network, i.e., the flexibility of DU resources such as variation between Soft Available and Soft INA cannot go beyond network configuration. </w:t>
      </w:r>
    </w:p>
    <w:p w14:paraId="687B0B8D" w14:textId="77777777" w:rsidR="00B960CB" w:rsidRDefault="00846CE0">
      <w:pPr>
        <w:pStyle w:val="ListParagraph"/>
        <w:numPr>
          <w:ilvl w:val="0"/>
          <w:numId w:val="7"/>
        </w:numPr>
        <w:autoSpaceDE w:val="0"/>
        <w:autoSpaceDN w:val="0"/>
        <w:adjustRightInd w:val="0"/>
        <w:snapToGrid w:val="0"/>
        <w:spacing w:before="120" w:after="120"/>
        <w:rPr>
          <w:sz w:val="20"/>
        </w:rPr>
      </w:pPr>
      <w:r>
        <w:rPr>
          <w:sz w:val="20"/>
        </w:rPr>
        <w:t xml:space="preserve">The child node needs to handle the cell-specific signals/channels on its DU resources and therefore would not have a chance to deal with its MT communications on its parent link resources that its parent treats as Soft Available or Hard, which causes resource waste at parent. How to make the parent to know and to handle its network-configured Hard DU resources not being guaranteed to be available may bring more complicated design philosophy and more specification efforts.   </w:t>
      </w:r>
    </w:p>
    <w:p w14:paraId="53771B41" w14:textId="77777777" w:rsidR="00B960CB" w:rsidRDefault="00846CE0">
      <w:pPr>
        <w:autoSpaceDE w:val="0"/>
        <w:autoSpaceDN w:val="0"/>
        <w:adjustRightInd w:val="0"/>
        <w:snapToGrid w:val="0"/>
        <w:spacing w:before="120" w:after="120"/>
        <w:rPr>
          <w:sz w:val="20"/>
        </w:rPr>
      </w:pPr>
      <w:r>
        <w:rPr>
          <w:sz w:val="20"/>
        </w:rPr>
        <w:t xml:space="preserve">Based on above analysis, the DU </w:t>
      </w:r>
      <w:r>
        <w:rPr>
          <w:rFonts w:hint="eastAsia"/>
          <w:sz w:val="20"/>
        </w:rPr>
        <w:t xml:space="preserve">resources </w:t>
      </w:r>
      <w:r>
        <w:rPr>
          <w:sz w:val="20"/>
        </w:rPr>
        <w:t xml:space="preserve">of type NA or Soft INA </w:t>
      </w:r>
      <w:r>
        <w:rPr>
          <w:rFonts w:hint="eastAsia"/>
          <w:sz w:val="20"/>
        </w:rPr>
        <w:t>should not be used for cell-specific</w:t>
      </w:r>
      <w:r>
        <w:rPr>
          <w:sz w:val="20"/>
        </w:rPr>
        <w:t xml:space="preserve"> </w:t>
      </w:r>
      <w:r>
        <w:rPr>
          <w:rFonts w:hint="eastAsia"/>
          <w:sz w:val="20"/>
        </w:rPr>
        <w:t>signals/channels transmission</w:t>
      </w:r>
      <w:r>
        <w:rPr>
          <w:sz w:val="20"/>
        </w:rPr>
        <w:t xml:space="preserve"> on child link</w:t>
      </w:r>
      <w:r>
        <w:rPr>
          <w:rFonts w:hint="eastAsia"/>
          <w:sz w:val="20"/>
        </w:rPr>
        <w:t>.</w:t>
      </w:r>
    </w:p>
    <w:p w14:paraId="202CFF63" w14:textId="221339A6" w:rsidR="001E6D7D" w:rsidRDefault="00846CE0">
      <w:pPr>
        <w:autoSpaceDE w:val="0"/>
        <w:autoSpaceDN w:val="0"/>
        <w:adjustRightInd w:val="0"/>
        <w:snapToGrid w:val="0"/>
        <w:spacing w:before="120" w:after="120"/>
        <w:rPr>
          <w:sz w:val="20"/>
        </w:rPr>
      </w:pPr>
      <w:r>
        <w:rPr>
          <w:sz w:val="20"/>
        </w:rPr>
        <w:t>In addition, our further view is that, the s</w:t>
      </w:r>
      <w:r>
        <w:rPr>
          <w:rFonts w:hint="eastAsia"/>
          <w:sz w:val="20"/>
        </w:rPr>
        <w:t>oft DU resource</w:t>
      </w:r>
      <w:r>
        <w:rPr>
          <w:sz w:val="20"/>
        </w:rPr>
        <w:t>, regardless of its eventual status between NA and INA</w:t>
      </w:r>
      <w:r>
        <w:rPr>
          <w:rFonts w:hint="eastAsia"/>
          <w:sz w:val="20"/>
        </w:rPr>
        <w:t xml:space="preserve">, </w:t>
      </w:r>
      <w:r>
        <w:rPr>
          <w:sz w:val="20"/>
        </w:rPr>
        <w:t>is</w:t>
      </w:r>
      <w:r>
        <w:rPr>
          <w:rFonts w:hint="eastAsia"/>
          <w:sz w:val="20"/>
        </w:rPr>
        <w:t xml:space="preserve"> </w:t>
      </w:r>
      <w:r>
        <w:rPr>
          <w:sz w:val="20"/>
        </w:rPr>
        <w:t xml:space="preserve">not </w:t>
      </w:r>
      <w:r>
        <w:rPr>
          <w:rFonts w:hint="eastAsia"/>
          <w:sz w:val="20"/>
        </w:rPr>
        <w:t>suitable for predefined transmission</w:t>
      </w:r>
      <w:r>
        <w:rPr>
          <w:sz w:val="20"/>
        </w:rPr>
        <w:t>, including cell-specific signals/channels</w:t>
      </w:r>
      <w:r>
        <w:rPr>
          <w:rFonts w:hint="eastAsia"/>
          <w:sz w:val="20"/>
        </w:rPr>
        <w:t xml:space="preserve">. Take SSB as an example, if certain SSB </w:t>
      </w:r>
      <w:r>
        <w:rPr>
          <w:sz w:val="20"/>
        </w:rPr>
        <w:t>is arranged</w:t>
      </w:r>
      <w:r>
        <w:rPr>
          <w:rFonts w:hint="eastAsia"/>
          <w:sz w:val="20"/>
        </w:rPr>
        <w:t xml:space="preserve"> on soft resource that </w:t>
      </w:r>
      <w:r>
        <w:rPr>
          <w:sz w:val="20"/>
        </w:rPr>
        <w:t xml:space="preserve">is </w:t>
      </w:r>
      <w:r>
        <w:rPr>
          <w:rFonts w:hint="eastAsia"/>
          <w:sz w:val="20"/>
        </w:rPr>
        <w:t xml:space="preserve">further </w:t>
      </w:r>
      <w:r>
        <w:rPr>
          <w:sz w:val="20"/>
        </w:rPr>
        <w:t xml:space="preserve">turned into </w:t>
      </w:r>
      <w:r>
        <w:rPr>
          <w:rFonts w:hint="eastAsia"/>
          <w:sz w:val="20"/>
        </w:rPr>
        <w:t>I</w:t>
      </w:r>
      <w:r>
        <w:rPr>
          <w:sz w:val="20"/>
        </w:rPr>
        <w:t xml:space="preserve">NA </w:t>
      </w:r>
      <w:r>
        <w:rPr>
          <w:rFonts w:hint="eastAsia"/>
          <w:sz w:val="20"/>
        </w:rPr>
        <w:t xml:space="preserve">and therefore </w:t>
      </w:r>
      <w:r>
        <w:rPr>
          <w:sz w:val="20"/>
        </w:rPr>
        <w:t>no</w:t>
      </w:r>
      <w:r>
        <w:rPr>
          <w:rFonts w:hint="eastAsia"/>
          <w:sz w:val="20"/>
        </w:rPr>
        <w:t>t</w:t>
      </w:r>
      <w:r>
        <w:rPr>
          <w:sz w:val="20"/>
        </w:rPr>
        <w:t xml:space="preserve"> transmitted, </w:t>
      </w:r>
      <w:r>
        <w:rPr>
          <w:rFonts w:hint="eastAsia"/>
          <w:sz w:val="20"/>
        </w:rPr>
        <w:t xml:space="preserve">the measurement of its child nodes and UEs would be affected. </w:t>
      </w:r>
      <w:r>
        <w:rPr>
          <w:sz w:val="20"/>
        </w:rPr>
        <w:t xml:space="preserve">The same issue applies to RMSI and PRACH. Because the cell-specific signals/channels are usually statically configured, they require either Hard resource or Soft resource that is “permanently marked as Available” to ensure the transmission opportunity. However, </w:t>
      </w:r>
      <w:r w:rsidR="001E6D7D">
        <w:rPr>
          <w:sz w:val="20"/>
        </w:rPr>
        <w:t xml:space="preserve">the feasibility and effectiveness of permanently marking the soft resource as Available </w:t>
      </w:r>
      <w:r w:rsidR="00264D55">
        <w:rPr>
          <w:sz w:val="20"/>
        </w:rPr>
        <w:t xml:space="preserve">are </w:t>
      </w:r>
      <w:r w:rsidR="00FE73BA">
        <w:rPr>
          <w:sz w:val="20"/>
        </w:rPr>
        <w:t>questionable, because</w:t>
      </w:r>
      <w:r w:rsidR="001E6D7D">
        <w:rPr>
          <w:sz w:val="20"/>
        </w:rPr>
        <w:t>:</w:t>
      </w:r>
    </w:p>
    <w:p w14:paraId="3BCC3E00" w14:textId="401D6DFE" w:rsidR="00264D55" w:rsidRDefault="001E6D7D" w:rsidP="001E6D7D">
      <w:pPr>
        <w:pStyle w:val="ListParagraph"/>
        <w:numPr>
          <w:ilvl w:val="0"/>
          <w:numId w:val="11"/>
        </w:numPr>
        <w:autoSpaceDE w:val="0"/>
        <w:autoSpaceDN w:val="0"/>
        <w:adjustRightInd w:val="0"/>
        <w:snapToGrid w:val="0"/>
        <w:spacing w:before="120" w:after="120"/>
        <w:rPr>
          <w:sz w:val="20"/>
        </w:rPr>
      </w:pPr>
      <w:r>
        <w:rPr>
          <w:sz w:val="20"/>
        </w:rPr>
        <w:t xml:space="preserve">The parent </w:t>
      </w:r>
      <w:r w:rsidR="00264D55">
        <w:rPr>
          <w:sz w:val="20"/>
        </w:rPr>
        <w:t>needs to know which</w:t>
      </w:r>
      <w:r>
        <w:rPr>
          <w:sz w:val="20"/>
        </w:rPr>
        <w:t xml:space="preserve"> soft </w:t>
      </w:r>
      <w:r w:rsidR="00333D4C">
        <w:rPr>
          <w:sz w:val="20"/>
        </w:rPr>
        <w:t xml:space="preserve">DU </w:t>
      </w:r>
      <w:r>
        <w:rPr>
          <w:sz w:val="20"/>
        </w:rPr>
        <w:t xml:space="preserve">resources are used by the IAB node for its cell-specific signals/channels </w:t>
      </w:r>
      <w:r w:rsidR="00264D55">
        <w:rPr>
          <w:sz w:val="20"/>
        </w:rPr>
        <w:t>in order to configure them as Soft Available</w:t>
      </w:r>
      <w:r>
        <w:rPr>
          <w:sz w:val="20"/>
        </w:rPr>
        <w:t>,</w:t>
      </w:r>
      <w:r w:rsidR="00264D55">
        <w:rPr>
          <w:sz w:val="20"/>
        </w:rPr>
        <w:t xml:space="preserve"> which requires additional mechanism and signaling for the IAB node to report to its parent the information of cell-specific signals/channels. We believe this is not desirable because otherwise </w:t>
      </w:r>
      <w:r w:rsidR="00333D4C">
        <w:rPr>
          <w:sz w:val="20"/>
        </w:rPr>
        <w:t xml:space="preserve">there should </w:t>
      </w:r>
      <w:r w:rsidR="00F9437F">
        <w:rPr>
          <w:sz w:val="20"/>
        </w:rPr>
        <w:t xml:space="preserve">have </w:t>
      </w:r>
      <w:r w:rsidR="00333D4C">
        <w:rPr>
          <w:sz w:val="20"/>
        </w:rPr>
        <w:t>be</w:t>
      </w:r>
      <w:r w:rsidR="00F9437F">
        <w:rPr>
          <w:sz w:val="20"/>
        </w:rPr>
        <w:t>en</w:t>
      </w:r>
      <w:r w:rsidR="00333D4C">
        <w:rPr>
          <w:sz w:val="20"/>
        </w:rPr>
        <w:t xml:space="preserve"> no problem as well for the cell-specific signals/channels to be on IAB DU resources of type NA or Soft INA. </w:t>
      </w:r>
    </w:p>
    <w:p w14:paraId="71F4BAFC" w14:textId="2E50C96D" w:rsidR="00DE52F2" w:rsidRDefault="00846CE0" w:rsidP="00264D55">
      <w:pPr>
        <w:pStyle w:val="ListParagraph"/>
        <w:numPr>
          <w:ilvl w:val="0"/>
          <w:numId w:val="11"/>
        </w:numPr>
        <w:autoSpaceDE w:val="0"/>
        <w:autoSpaceDN w:val="0"/>
        <w:adjustRightInd w:val="0"/>
        <w:snapToGrid w:val="0"/>
        <w:spacing w:before="120" w:after="120"/>
        <w:rPr>
          <w:sz w:val="20"/>
        </w:rPr>
      </w:pPr>
      <w:r w:rsidRPr="00264D55">
        <w:rPr>
          <w:sz w:val="20"/>
        </w:rPr>
        <w:t>RAN1 already agreed that the default status of soft resource is INA, to permanently mark the soft resource a</w:t>
      </w:r>
      <w:r w:rsidR="00264D55">
        <w:rPr>
          <w:sz w:val="20"/>
        </w:rPr>
        <w:t xml:space="preserve">s Available may need the frequent transmission of explicit indication </w:t>
      </w:r>
      <w:r w:rsidR="00DE52F2">
        <w:rPr>
          <w:sz w:val="20"/>
        </w:rPr>
        <w:t>from the parent, which is an unnecessary resource waste</w:t>
      </w:r>
      <w:r w:rsidR="009A5687">
        <w:rPr>
          <w:sz w:val="20"/>
        </w:rPr>
        <w:t xml:space="preserve"> and scheduling burden </w:t>
      </w:r>
      <w:r w:rsidR="009A5687" w:rsidRPr="00264D55">
        <w:rPr>
          <w:sz w:val="20"/>
        </w:rPr>
        <w:t>compar</w:t>
      </w:r>
      <w:r w:rsidR="009A5687">
        <w:rPr>
          <w:sz w:val="20"/>
        </w:rPr>
        <w:t>ing to just using Hard resource</w:t>
      </w:r>
      <w:r w:rsidR="00DE52F2">
        <w:rPr>
          <w:sz w:val="20"/>
        </w:rPr>
        <w:t>. Here the implicit indication may fail to sufficiently guarantee the parent node and IAB node to have the same understanding on IAB node’s behavior.</w:t>
      </w:r>
    </w:p>
    <w:p w14:paraId="1B5D7032" w14:textId="45EA9B1E" w:rsidR="00B960CB" w:rsidRPr="00264D55" w:rsidRDefault="00DE52F2" w:rsidP="00264D55">
      <w:pPr>
        <w:pStyle w:val="ListParagraph"/>
        <w:numPr>
          <w:ilvl w:val="0"/>
          <w:numId w:val="11"/>
        </w:numPr>
        <w:autoSpaceDE w:val="0"/>
        <w:autoSpaceDN w:val="0"/>
        <w:adjustRightInd w:val="0"/>
        <w:snapToGrid w:val="0"/>
        <w:spacing w:before="120" w:after="120"/>
        <w:rPr>
          <w:sz w:val="20"/>
        </w:rPr>
      </w:pPr>
      <w:r>
        <w:rPr>
          <w:sz w:val="20"/>
        </w:rPr>
        <w:t xml:space="preserve">Per functionality wise, a “permanent Soft Available” resource has no difference from the “Hard” resource.  </w:t>
      </w:r>
    </w:p>
    <w:p w14:paraId="6AA5F0FF" w14:textId="40B04046" w:rsidR="00B960CB" w:rsidRDefault="00846CE0">
      <w:pPr>
        <w:autoSpaceDE w:val="0"/>
        <w:autoSpaceDN w:val="0"/>
        <w:adjustRightInd w:val="0"/>
        <w:snapToGrid w:val="0"/>
        <w:spacing w:before="120" w:after="120"/>
        <w:rPr>
          <w:sz w:val="20"/>
        </w:rPr>
      </w:pPr>
      <w:r>
        <w:rPr>
          <w:rFonts w:hint="eastAsia"/>
          <w:sz w:val="20"/>
        </w:rPr>
        <w:t>Based on the above analysis, we think that cell-specific signals/channels in fixed period or predefined pattern should not be configured on soft resources</w:t>
      </w:r>
      <w:r w:rsidR="00DE52F2">
        <w:rPr>
          <w:sz w:val="20"/>
        </w:rPr>
        <w:t>, i.e., they should be on Hard resources only</w:t>
      </w:r>
      <w:r>
        <w:rPr>
          <w:rFonts w:hint="eastAsia"/>
          <w:sz w:val="20"/>
        </w:rPr>
        <w:t>.</w:t>
      </w:r>
    </w:p>
    <w:p w14:paraId="7B1B67BC" w14:textId="77777777" w:rsidR="00B960CB" w:rsidRDefault="00846CE0">
      <w:pPr>
        <w:autoSpaceDE w:val="0"/>
        <w:autoSpaceDN w:val="0"/>
        <w:adjustRightInd w:val="0"/>
        <w:snapToGrid w:val="0"/>
        <w:spacing w:before="120" w:after="120"/>
        <w:rPr>
          <w:sz w:val="20"/>
        </w:rPr>
      </w:pPr>
      <w:r>
        <w:rPr>
          <w:sz w:val="20"/>
        </w:rPr>
        <w:t xml:space="preserve">One FFS point is left from RAN1 #96bis for </w:t>
      </w:r>
      <w:r>
        <w:rPr>
          <w:rFonts w:hint="eastAsia"/>
          <w:sz w:val="20"/>
        </w:rPr>
        <w:t xml:space="preserve">which cell specific signals/channels </w:t>
      </w:r>
      <w:r>
        <w:rPr>
          <w:sz w:val="20"/>
        </w:rPr>
        <w:t>to</w:t>
      </w:r>
      <w:r>
        <w:rPr>
          <w:rFonts w:hint="eastAsia"/>
          <w:sz w:val="20"/>
        </w:rPr>
        <w:t xml:space="preserve"> be considered </w:t>
      </w:r>
      <w:r>
        <w:rPr>
          <w:sz w:val="20"/>
        </w:rPr>
        <w:t xml:space="preserve">in above context </w:t>
      </w:r>
      <w:r>
        <w:rPr>
          <w:rFonts w:hint="eastAsia"/>
          <w:sz w:val="20"/>
        </w:rPr>
        <w:t>[1]:</w:t>
      </w:r>
    </w:p>
    <w:p w14:paraId="65679639" w14:textId="77777777" w:rsidR="00B960CB" w:rsidRDefault="00846CE0">
      <w:pPr>
        <w:numPr>
          <w:ilvl w:val="0"/>
          <w:numId w:val="6"/>
        </w:numPr>
        <w:autoSpaceDE w:val="0"/>
        <w:autoSpaceDN w:val="0"/>
        <w:adjustRightInd w:val="0"/>
        <w:snapToGrid w:val="0"/>
        <w:spacing w:before="120" w:after="120" w:line="260" w:lineRule="auto"/>
        <w:ind w:hanging="363"/>
        <w:rPr>
          <w:i/>
          <w:sz w:val="20"/>
        </w:rPr>
      </w:pPr>
      <w:r>
        <w:rPr>
          <w:i/>
          <w:sz w:val="20"/>
        </w:rPr>
        <w:t>FFS the cell specific signals/channels. The list may include (not necessarily an exhaustive list)</w:t>
      </w:r>
    </w:p>
    <w:p w14:paraId="51FAFD85" w14:textId="77777777" w:rsidR="00B960CB" w:rsidRDefault="00846CE0">
      <w:pPr>
        <w:numPr>
          <w:ilvl w:val="1"/>
          <w:numId w:val="6"/>
        </w:numPr>
        <w:autoSpaceDE w:val="0"/>
        <w:autoSpaceDN w:val="0"/>
        <w:adjustRightInd w:val="0"/>
        <w:snapToGrid w:val="0"/>
        <w:spacing w:before="120" w:after="120" w:line="260" w:lineRule="auto"/>
        <w:ind w:hanging="363"/>
        <w:rPr>
          <w:i/>
          <w:sz w:val="20"/>
        </w:rPr>
      </w:pPr>
      <w:r>
        <w:rPr>
          <w:i/>
          <w:sz w:val="20"/>
        </w:rPr>
        <w:t>SSB transmissions</w:t>
      </w:r>
    </w:p>
    <w:p w14:paraId="24DCB7FA" w14:textId="77777777" w:rsidR="00B960CB" w:rsidRDefault="00846CE0">
      <w:pPr>
        <w:numPr>
          <w:ilvl w:val="1"/>
          <w:numId w:val="6"/>
        </w:numPr>
        <w:autoSpaceDE w:val="0"/>
        <w:autoSpaceDN w:val="0"/>
        <w:adjustRightInd w:val="0"/>
        <w:snapToGrid w:val="0"/>
        <w:spacing w:before="120" w:after="120" w:line="260" w:lineRule="auto"/>
        <w:ind w:hanging="363"/>
        <w:rPr>
          <w:i/>
          <w:sz w:val="20"/>
        </w:rPr>
      </w:pPr>
      <w:r>
        <w:rPr>
          <w:i/>
          <w:sz w:val="20"/>
        </w:rPr>
        <w:t>Broadcast system information</w:t>
      </w:r>
    </w:p>
    <w:p w14:paraId="428AB16F" w14:textId="77777777" w:rsidR="00B960CB" w:rsidRDefault="00846CE0">
      <w:pPr>
        <w:numPr>
          <w:ilvl w:val="1"/>
          <w:numId w:val="6"/>
        </w:numPr>
        <w:autoSpaceDE w:val="0"/>
        <w:autoSpaceDN w:val="0"/>
        <w:adjustRightInd w:val="0"/>
        <w:snapToGrid w:val="0"/>
        <w:spacing w:before="120" w:after="120" w:line="260" w:lineRule="auto"/>
        <w:ind w:hanging="363"/>
        <w:rPr>
          <w:i/>
          <w:sz w:val="20"/>
        </w:rPr>
      </w:pPr>
      <w:r>
        <w:rPr>
          <w:i/>
          <w:sz w:val="20"/>
        </w:rPr>
        <w:t>Configured periodic CSI-RS</w:t>
      </w:r>
    </w:p>
    <w:p w14:paraId="5DC5D154" w14:textId="77777777" w:rsidR="00B960CB" w:rsidRDefault="00846CE0">
      <w:pPr>
        <w:pStyle w:val="ListParagraph"/>
        <w:numPr>
          <w:ilvl w:val="1"/>
          <w:numId w:val="6"/>
        </w:numPr>
        <w:autoSpaceDE w:val="0"/>
        <w:autoSpaceDN w:val="0"/>
        <w:adjustRightInd w:val="0"/>
        <w:snapToGrid w:val="0"/>
        <w:spacing w:before="60" w:after="120" w:line="260" w:lineRule="auto"/>
        <w:ind w:hanging="363"/>
        <w:rPr>
          <w:i/>
          <w:sz w:val="20"/>
          <w:szCs w:val="20"/>
        </w:rPr>
      </w:pPr>
      <w:r>
        <w:rPr>
          <w:i/>
          <w:sz w:val="20"/>
          <w:szCs w:val="20"/>
        </w:rPr>
        <w:t>PRACH resources</w:t>
      </w:r>
    </w:p>
    <w:p w14:paraId="08FC73D6" w14:textId="77777777" w:rsidR="00B960CB" w:rsidRDefault="00846CE0">
      <w:pPr>
        <w:numPr>
          <w:ilvl w:val="1"/>
          <w:numId w:val="6"/>
        </w:numPr>
        <w:autoSpaceDE w:val="0"/>
        <w:autoSpaceDN w:val="0"/>
        <w:adjustRightInd w:val="0"/>
        <w:snapToGrid w:val="0"/>
        <w:spacing w:before="120" w:after="120" w:line="260" w:lineRule="auto"/>
        <w:ind w:hanging="363"/>
        <w:rPr>
          <w:i/>
          <w:sz w:val="20"/>
        </w:rPr>
      </w:pPr>
      <w:r>
        <w:rPr>
          <w:i/>
          <w:sz w:val="20"/>
        </w:rPr>
        <w:t>Resources for scheduling requests</w:t>
      </w:r>
    </w:p>
    <w:p w14:paraId="57F496EE" w14:textId="77777777" w:rsidR="00B960CB" w:rsidRDefault="00846CE0">
      <w:pPr>
        <w:autoSpaceDE w:val="0"/>
        <w:autoSpaceDN w:val="0"/>
        <w:adjustRightInd w:val="0"/>
        <w:snapToGrid w:val="0"/>
        <w:spacing w:before="120" w:after="120"/>
        <w:rPr>
          <w:sz w:val="20"/>
        </w:rPr>
      </w:pPr>
      <w:r>
        <w:rPr>
          <w:rFonts w:hint="eastAsia"/>
          <w:sz w:val="20"/>
        </w:rPr>
        <w:t xml:space="preserve">SSB and PRACH are critical to setup and maintain child link, and therefore should not be on </w:t>
      </w:r>
      <w:r>
        <w:rPr>
          <w:sz w:val="20"/>
        </w:rPr>
        <w:t>NA or Soft DU resources</w:t>
      </w:r>
      <w:r>
        <w:rPr>
          <w:rFonts w:hint="eastAsia"/>
          <w:sz w:val="20"/>
        </w:rPr>
        <w:t xml:space="preserve">. </w:t>
      </w:r>
    </w:p>
    <w:p w14:paraId="5D4F1F85" w14:textId="77777777" w:rsidR="00B960CB" w:rsidRDefault="00846CE0">
      <w:pPr>
        <w:autoSpaceDE w:val="0"/>
        <w:autoSpaceDN w:val="0"/>
        <w:adjustRightInd w:val="0"/>
        <w:snapToGrid w:val="0"/>
        <w:spacing w:before="120" w:after="120"/>
        <w:rPr>
          <w:sz w:val="20"/>
        </w:rPr>
      </w:pPr>
      <w:r>
        <w:rPr>
          <w:rFonts w:hint="eastAsia"/>
          <w:sz w:val="20"/>
        </w:rPr>
        <w:lastRenderedPageBreak/>
        <w:t>SI can be divided into RMSI and OSI. OSI can be delivered through dedicated signaling, while RMSI transmission should be guaranteed as RMSI is the necessary information for network access. Therefore RMSI should not be configured on NA or soft resources.</w:t>
      </w:r>
    </w:p>
    <w:p w14:paraId="3F792335" w14:textId="598C9C40" w:rsidR="00B960CB" w:rsidRDefault="00846CE0">
      <w:pPr>
        <w:autoSpaceDE w:val="0"/>
        <w:autoSpaceDN w:val="0"/>
        <w:adjustRightInd w:val="0"/>
        <w:snapToGrid w:val="0"/>
        <w:spacing w:before="120" w:after="120"/>
        <w:rPr>
          <w:sz w:val="20"/>
        </w:rPr>
      </w:pPr>
      <w:r>
        <w:rPr>
          <w:rFonts w:hint="eastAsia"/>
          <w:sz w:val="20"/>
        </w:rPr>
        <w:t>SR is used for reso</w:t>
      </w:r>
      <w:r w:rsidR="005E7E4A">
        <w:rPr>
          <w:rFonts w:hint="eastAsia"/>
          <w:sz w:val="20"/>
        </w:rPr>
        <w:t>urce request, which</w:t>
      </w:r>
      <w:r>
        <w:rPr>
          <w:rFonts w:hint="eastAsia"/>
          <w:sz w:val="20"/>
        </w:rPr>
        <w:t xml:space="preserve"> can be </w:t>
      </w:r>
      <w:r w:rsidR="005E7E4A">
        <w:rPr>
          <w:sz w:val="20"/>
        </w:rPr>
        <w:t xml:space="preserve">also </w:t>
      </w:r>
      <w:r>
        <w:rPr>
          <w:rFonts w:hint="eastAsia"/>
          <w:sz w:val="20"/>
        </w:rPr>
        <w:t>achieved by PRACH</w:t>
      </w:r>
      <w:r w:rsidR="002643D9">
        <w:rPr>
          <w:sz w:val="20"/>
        </w:rPr>
        <w:t xml:space="preserve"> in case no SR resource is available</w:t>
      </w:r>
      <w:r>
        <w:rPr>
          <w:rFonts w:hint="eastAsia"/>
          <w:sz w:val="20"/>
        </w:rPr>
        <w:t xml:space="preserve">. On the other hand, </w:t>
      </w:r>
      <w:r w:rsidR="005E7E4A">
        <w:rPr>
          <w:sz w:val="20"/>
        </w:rPr>
        <w:t>for the</w:t>
      </w:r>
      <w:r w:rsidR="005E7E4A">
        <w:rPr>
          <w:rFonts w:hint="eastAsia"/>
          <w:sz w:val="20"/>
        </w:rPr>
        <w:t xml:space="preserve"> SR resources allocated on </w:t>
      </w:r>
      <w:r>
        <w:rPr>
          <w:rFonts w:hint="eastAsia"/>
          <w:sz w:val="20"/>
        </w:rPr>
        <w:t>NA or</w:t>
      </w:r>
      <w:r>
        <w:rPr>
          <w:sz w:val="20"/>
        </w:rPr>
        <w:t xml:space="preserve"> Soft DU resources, the</w:t>
      </w:r>
      <w:r w:rsidR="005E7E4A">
        <w:rPr>
          <w:rFonts w:hint="eastAsia"/>
          <w:sz w:val="20"/>
        </w:rPr>
        <w:t xml:space="preserve"> </w:t>
      </w:r>
      <w:r w:rsidR="002643D9">
        <w:rPr>
          <w:sz w:val="20"/>
        </w:rPr>
        <w:t>IAB</w:t>
      </w:r>
      <w:r w:rsidR="005E7E4A">
        <w:rPr>
          <w:rFonts w:hint="eastAsia"/>
          <w:sz w:val="20"/>
        </w:rPr>
        <w:t xml:space="preserve"> node can block the child nodes </w:t>
      </w:r>
      <w:r w:rsidR="002643D9">
        <w:rPr>
          <w:sz w:val="20"/>
        </w:rPr>
        <w:t xml:space="preserve">and UEs </w:t>
      </w:r>
      <w:r w:rsidR="005E7E4A">
        <w:rPr>
          <w:rFonts w:hint="eastAsia"/>
          <w:sz w:val="20"/>
        </w:rPr>
        <w:t>from using these</w:t>
      </w:r>
      <w:r>
        <w:rPr>
          <w:rFonts w:hint="eastAsia"/>
          <w:sz w:val="20"/>
        </w:rPr>
        <w:t xml:space="preserve"> SR </w:t>
      </w:r>
      <w:r>
        <w:rPr>
          <w:sz w:val="20"/>
        </w:rPr>
        <w:t>resource</w:t>
      </w:r>
      <w:r w:rsidR="005E7E4A">
        <w:rPr>
          <w:sz w:val="20"/>
        </w:rPr>
        <w:t>s</w:t>
      </w:r>
      <w:r>
        <w:rPr>
          <w:rFonts w:hint="eastAsia"/>
          <w:sz w:val="20"/>
        </w:rPr>
        <w:t xml:space="preserve"> </w:t>
      </w:r>
      <w:r w:rsidR="00D409F5">
        <w:rPr>
          <w:sz w:val="20"/>
        </w:rPr>
        <w:t>by marking the whole symbols</w:t>
      </w:r>
      <w:r w:rsidR="005E7E4A">
        <w:rPr>
          <w:sz w:val="20"/>
        </w:rPr>
        <w:t xml:space="preserve"> as reserved</w:t>
      </w:r>
      <w:r>
        <w:rPr>
          <w:rFonts w:hint="eastAsia"/>
          <w:sz w:val="20"/>
        </w:rPr>
        <w:t>.</w:t>
      </w:r>
      <w:r w:rsidR="009F775B">
        <w:rPr>
          <w:sz w:val="20"/>
        </w:rPr>
        <w:t xml:space="preserve"> The same implementation can be applied to CSI-RS resources that are allocated on NA or Soft DU resources. Therefore, the SR resources and CSI-RS resources configured on DU resources of type NA or Soft do not have to be handled under exception rules being discussed. </w:t>
      </w:r>
      <w:r>
        <w:rPr>
          <w:rFonts w:hint="eastAsia"/>
          <w:sz w:val="20"/>
        </w:rPr>
        <w:t xml:space="preserve"> </w:t>
      </w:r>
    </w:p>
    <w:p w14:paraId="2E518FCE" w14:textId="78CEEE80" w:rsidR="00B960CB" w:rsidRDefault="00846CE0">
      <w:pPr>
        <w:pStyle w:val="YJ-Proposal"/>
        <w:spacing w:before="120" w:after="120"/>
        <w:rPr>
          <w:lang w:val="en-US" w:eastAsia="zh-CN"/>
        </w:rPr>
      </w:pPr>
      <w:bookmarkStart w:id="0" w:name="_Toc9166"/>
      <w:bookmarkStart w:id="1" w:name="_Toc1424"/>
      <w:bookmarkStart w:id="2" w:name="_Toc11786"/>
      <w:bookmarkStart w:id="3" w:name="_Toc7629306"/>
      <w:bookmarkStart w:id="4" w:name="_Toc7753650"/>
      <w:r>
        <w:rPr>
          <w:lang w:val="en-US" w:eastAsia="zh-CN"/>
        </w:rPr>
        <w:t xml:space="preserve">An IAB or donor node is not expected to use its DU resources of type NA or soft </w:t>
      </w:r>
      <w:r w:rsidR="00200D24">
        <w:rPr>
          <w:lang w:val="en-US" w:eastAsia="zh-CN"/>
        </w:rPr>
        <w:t xml:space="preserve">(including both soft Available and soft INA) </w:t>
      </w:r>
      <w:r>
        <w:rPr>
          <w:lang w:val="en-US" w:eastAsia="zh-CN"/>
        </w:rPr>
        <w:t>for cell-specific signals/channels on child link</w:t>
      </w:r>
      <w:r>
        <w:rPr>
          <w:rFonts w:hint="eastAsia"/>
          <w:lang w:val="en-US" w:eastAsia="zh-CN"/>
        </w:rPr>
        <w:t xml:space="preserve">, where </w:t>
      </w:r>
      <w:r>
        <w:rPr>
          <w:lang w:val="en-US" w:eastAsia="zh-CN"/>
        </w:rPr>
        <w:t xml:space="preserve">the </w:t>
      </w:r>
      <w:r>
        <w:rPr>
          <w:rFonts w:hint="eastAsia"/>
          <w:lang w:val="en-US" w:eastAsia="zh-CN"/>
        </w:rPr>
        <w:t>cell-specific signals/channels include</w:t>
      </w:r>
      <w:bookmarkEnd w:id="0"/>
      <w:bookmarkEnd w:id="1"/>
      <w:bookmarkEnd w:id="2"/>
      <w:bookmarkEnd w:id="3"/>
      <w:bookmarkEnd w:id="4"/>
    </w:p>
    <w:p w14:paraId="0A068E02" w14:textId="77777777" w:rsidR="00B960CB" w:rsidRDefault="00846CE0">
      <w:pPr>
        <w:pStyle w:val="sub-proposal"/>
        <w:spacing w:before="120" w:after="120"/>
        <w:rPr>
          <w:lang w:val="en-US" w:eastAsia="zh-CN"/>
        </w:rPr>
      </w:pPr>
      <w:bookmarkStart w:id="5" w:name="_Toc30266"/>
      <w:bookmarkStart w:id="6" w:name="_Toc7629307"/>
      <w:bookmarkStart w:id="7" w:name="_Toc7753651"/>
      <w:r>
        <w:rPr>
          <w:rFonts w:hint="eastAsia"/>
          <w:lang w:val="en-US" w:eastAsia="zh-CN"/>
        </w:rPr>
        <w:t>SSB transmissions</w:t>
      </w:r>
      <w:bookmarkEnd w:id="5"/>
      <w:bookmarkEnd w:id="6"/>
      <w:bookmarkEnd w:id="7"/>
    </w:p>
    <w:p w14:paraId="388290BC" w14:textId="77777777" w:rsidR="00B960CB" w:rsidRDefault="00846CE0">
      <w:pPr>
        <w:pStyle w:val="sub-proposal"/>
        <w:spacing w:before="120" w:after="120"/>
        <w:rPr>
          <w:lang w:val="en-US" w:eastAsia="zh-CN"/>
        </w:rPr>
      </w:pPr>
      <w:bookmarkStart w:id="8" w:name="_Toc7629308"/>
      <w:bookmarkStart w:id="9" w:name="_Toc15329"/>
      <w:bookmarkStart w:id="10" w:name="_Toc7753652"/>
      <w:r>
        <w:rPr>
          <w:rFonts w:hint="eastAsia"/>
          <w:lang w:val="en-US" w:eastAsia="zh-CN"/>
        </w:rPr>
        <w:t>PRACH occasions</w:t>
      </w:r>
      <w:bookmarkEnd w:id="8"/>
      <w:bookmarkEnd w:id="9"/>
      <w:bookmarkEnd w:id="10"/>
    </w:p>
    <w:p w14:paraId="03F74402" w14:textId="77777777" w:rsidR="00B960CB" w:rsidRDefault="00846CE0">
      <w:pPr>
        <w:pStyle w:val="sub-proposal"/>
        <w:spacing w:before="120" w:after="120"/>
        <w:rPr>
          <w:lang w:val="en-US" w:eastAsia="zh-CN"/>
        </w:rPr>
      </w:pPr>
      <w:bookmarkStart w:id="11" w:name="_Toc19610"/>
      <w:bookmarkStart w:id="12" w:name="_Toc7629309"/>
      <w:bookmarkStart w:id="13" w:name="_Toc7753653"/>
      <w:r>
        <w:rPr>
          <w:rFonts w:hint="eastAsia"/>
          <w:lang w:val="en-US" w:eastAsia="zh-CN"/>
        </w:rPr>
        <w:t>RMSI</w:t>
      </w:r>
      <w:bookmarkEnd w:id="11"/>
      <w:bookmarkEnd w:id="12"/>
      <w:bookmarkEnd w:id="13"/>
    </w:p>
    <w:p w14:paraId="422BEBD0" w14:textId="77777777" w:rsidR="00B960CB" w:rsidRDefault="00846CE0">
      <w:pPr>
        <w:pStyle w:val="Heading1"/>
        <w:spacing w:before="120" w:after="120"/>
        <w:ind w:left="0"/>
      </w:pPr>
      <w:r>
        <w:rPr>
          <w:rFonts w:eastAsia="SimHei" w:hint="eastAsia"/>
          <w:szCs w:val="30"/>
        </w:rPr>
        <w:t>Acquisition of child DU configuration</w:t>
      </w:r>
    </w:p>
    <w:p w14:paraId="2A027137" w14:textId="77777777" w:rsidR="00B960CB" w:rsidRDefault="00846CE0">
      <w:pPr>
        <w:autoSpaceDE w:val="0"/>
        <w:autoSpaceDN w:val="0"/>
        <w:adjustRightInd w:val="0"/>
        <w:snapToGrid w:val="0"/>
        <w:spacing w:before="120" w:after="120"/>
        <w:rPr>
          <w:sz w:val="20"/>
        </w:rPr>
      </w:pPr>
      <w:r>
        <w:rPr>
          <w:sz w:val="20"/>
        </w:rPr>
        <w:t>This section address the FFS point in the following agreement</w:t>
      </w:r>
      <w:r>
        <w:rPr>
          <w:rFonts w:hint="eastAsia"/>
          <w:sz w:val="20"/>
        </w:rPr>
        <w:t>:</w:t>
      </w:r>
    </w:p>
    <w:p w14:paraId="3ABE1EFA" w14:textId="77777777" w:rsidR="00B960CB" w:rsidRDefault="00846CE0">
      <w:pPr>
        <w:autoSpaceDE w:val="0"/>
        <w:autoSpaceDN w:val="0"/>
        <w:adjustRightInd w:val="0"/>
        <w:snapToGrid w:val="0"/>
        <w:spacing w:before="120" w:after="120"/>
        <w:ind w:left="360"/>
        <w:rPr>
          <w:sz w:val="20"/>
        </w:rPr>
      </w:pPr>
      <w:r>
        <w:rPr>
          <w:sz w:val="20"/>
          <w:highlight w:val="green"/>
        </w:rPr>
        <w:t>Agreements</w:t>
      </w:r>
      <w:r>
        <w:rPr>
          <w:sz w:val="20"/>
        </w:rPr>
        <w:t>:</w:t>
      </w:r>
    </w:p>
    <w:p w14:paraId="2AB7280D" w14:textId="77777777" w:rsidR="00B960CB" w:rsidRDefault="00846CE0">
      <w:pPr>
        <w:numPr>
          <w:ilvl w:val="0"/>
          <w:numId w:val="8"/>
        </w:numPr>
        <w:autoSpaceDE w:val="0"/>
        <w:autoSpaceDN w:val="0"/>
        <w:adjustRightInd w:val="0"/>
        <w:snapToGrid w:val="0"/>
        <w:spacing w:before="120" w:after="120"/>
        <w:rPr>
          <w:i/>
          <w:sz w:val="20"/>
        </w:rPr>
      </w:pPr>
      <w:r>
        <w:rPr>
          <w:i/>
          <w:sz w:val="20"/>
        </w:rPr>
        <w:t>An IAB node has the ability to be made aware of the semi-static DU resource configuration (D/U/F/H/S/NA) of all its child IAB nodes.</w:t>
      </w:r>
    </w:p>
    <w:p w14:paraId="4F883C49" w14:textId="77777777" w:rsidR="00B960CB" w:rsidRDefault="00846CE0">
      <w:pPr>
        <w:numPr>
          <w:ilvl w:val="1"/>
          <w:numId w:val="8"/>
        </w:numPr>
        <w:autoSpaceDE w:val="0"/>
        <w:autoSpaceDN w:val="0"/>
        <w:adjustRightInd w:val="0"/>
        <w:snapToGrid w:val="0"/>
        <w:spacing w:before="120" w:after="120"/>
        <w:rPr>
          <w:i/>
          <w:sz w:val="20"/>
        </w:rPr>
      </w:pPr>
      <w:r>
        <w:rPr>
          <w:i/>
          <w:sz w:val="20"/>
        </w:rPr>
        <w:t>in the case the full DU resource configuration information of its child IAB nodes is not necessary, ensure that only the necessary configuration information is signaled to the IAB node.</w:t>
      </w:r>
    </w:p>
    <w:p w14:paraId="387D93E3" w14:textId="77777777" w:rsidR="00B960CB" w:rsidRDefault="00846CE0">
      <w:pPr>
        <w:numPr>
          <w:ilvl w:val="2"/>
          <w:numId w:val="8"/>
        </w:numPr>
        <w:autoSpaceDE w:val="0"/>
        <w:autoSpaceDN w:val="0"/>
        <w:adjustRightInd w:val="0"/>
        <w:snapToGrid w:val="0"/>
        <w:spacing w:before="120" w:after="120"/>
        <w:rPr>
          <w:i/>
          <w:sz w:val="20"/>
        </w:rPr>
      </w:pPr>
      <w:r>
        <w:rPr>
          <w:i/>
          <w:sz w:val="20"/>
        </w:rPr>
        <w:t>FFS the necessary configuration information.</w:t>
      </w:r>
    </w:p>
    <w:p w14:paraId="449F3D5D" w14:textId="77777777" w:rsidR="00B960CB" w:rsidRDefault="00846CE0">
      <w:pPr>
        <w:autoSpaceDE w:val="0"/>
        <w:autoSpaceDN w:val="0"/>
        <w:adjustRightInd w:val="0"/>
        <w:snapToGrid w:val="0"/>
        <w:spacing w:before="120" w:after="120"/>
        <w:rPr>
          <w:sz w:val="20"/>
        </w:rPr>
      </w:pPr>
      <w:r>
        <w:rPr>
          <w:sz w:val="20"/>
        </w:rPr>
        <w:t>There are some facts regarding to</w:t>
      </w:r>
      <w:r>
        <w:rPr>
          <w:rFonts w:hint="eastAsia"/>
          <w:sz w:val="20"/>
        </w:rPr>
        <w:t xml:space="preserve"> which type</w:t>
      </w:r>
      <w:r>
        <w:rPr>
          <w:sz w:val="20"/>
        </w:rPr>
        <w:t>s</w:t>
      </w:r>
      <w:r>
        <w:rPr>
          <w:rFonts w:hint="eastAsia"/>
          <w:sz w:val="20"/>
        </w:rPr>
        <w:t xml:space="preserve"> of child DU resource</w:t>
      </w:r>
      <w:r>
        <w:rPr>
          <w:sz w:val="20"/>
        </w:rPr>
        <w:t>s</w:t>
      </w:r>
      <w:r>
        <w:rPr>
          <w:rFonts w:hint="eastAsia"/>
          <w:sz w:val="20"/>
        </w:rPr>
        <w:t xml:space="preserve"> should be </w:t>
      </w:r>
      <w:r>
        <w:rPr>
          <w:sz w:val="20"/>
        </w:rPr>
        <w:t>necessarily visible</w:t>
      </w:r>
      <w:r>
        <w:rPr>
          <w:rFonts w:hint="eastAsia"/>
          <w:sz w:val="20"/>
        </w:rPr>
        <w:t xml:space="preserve"> to its parent DU.</w:t>
      </w:r>
    </w:p>
    <w:p w14:paraId="2C01E0B8" w14:textId="77777777" w:rsidR="00B960CB" w:rsidRDefault="00846CE0">
      <w:pPr>
        <w:pStyle w:val="ListParagraph"/>
        <w:numPr>
          <w:ilvl w:val="0"/>
          <w:numId w:val="9"/>
        </w:numPr>
        <w:autoSpaceDE w:val="0"/>
        <w:autoSpaceDN w:val="0"/>
        <w:adjustRightInd w:val="0"/>
        <w:snapToGrid w:val="0"/>
        <w:spacing w:after="120"/>
        <w:rPr>
          <w:sz w:val="20"/>
          <w:szCs w:val="20"/>
        </w:rPr>
      </w:pPr>
      <w:r>
        <w:rPr>
          <w:sz w:val="20"/>
          <w:szCs w:val="20"/>
        </w:rPr>
        <w:t>Because the parent node has the functionality to indicate Available v</w:t>
      </w:r>
      <w:r>
        <w:rPr>
          <w:rFonts w:eastAsiaTheme="minorEastAsia" w:hint="eastAsia"/>
          <w:sz w:val="20"/>
          <w:szCs w:val="20"/>
        </w:rPr>
        <w:t>ersus</w:t>
      </w:r>
      <w:r>
        <w:rPr>
          <w:sz w:val="20"/>
          <w:szCs w:val="20"/>
        </w:rPr>
        <w:t xml:space="preserve"> Not-Available status upon child soft DU resources, the soft resources at child DU should be visible to the parent</w:t>
      </w:r>
      <w:r>
        <w:rPr>
          <w:rFonts w:hint="eastAsia"/>
          <w:sz w:val="20"/>
          <w:szCs w:val="20"/>
        </w:rPr>
        <w:t>.</w:t>
      </w:r>
    </w:p>
    <w:p w14:paraId="5F16B4B4" w14:textId="77777777" w:rsidR="00B960CB" w:rsidRDefault="00846CE0">
      <w:pPr>
        <w:pStyle w:val="ListParagraph"/>
        <w:numPr>
          <w:ilvl w:val="0"/>
          <w:numId w:val="9"/>
        </w:numPr>
        <w:autoSpaceDE w:val="0"/>
        <w:autoSpaceDN w:val="0"/>
        <w:adjustRightInd w:val="0"/>
        <w:snapToGrid w:val="0"/>
        <w:spacing w:after="120"/>
        <w:rPr>
          <w:sz w:val="20"/>
          <w:szCs w:val="20"/>
        </w:rPr>
      </w:pPr>
      <w:r>
        <w:rPr>
          <w:sz w:val="20"/>
          <w:szCs w:val="20"/>
        </w:rPr>
        <w:t xml:space="preserve">Due to </w:t>
      </w:r>
      <w:r>
        <w:rPr>
          <w:rFonts w:hint="eastAsia"/>
          <w:sz w:val="20"/>
          <w:szCs w:val="20"/>
        </w:rPr>
        <w:t xml:space="preserve">half-duplex constraint across hops for IAB node, parent node should know the Hard and NA DU resource </w:t>
      </w:r>
      <w:r>
        <w:rPr>
          <w:sz w:val="20"/>
          <w:szCs w:val="20"/>
        </w:rPr>
        <w:t xml:space="preserve">at child node </w:t>
      </w:r>
      <w:r>
        <w:rPr>
          <w:rFonts w:hint="eastAsia"/>
          <w:sz w:val="20"/>
          <w:szCs w:val="20"/>
        </w:rPr>
        <w:t xml:space="preserve">to avoid scheduling </w:t>
      </w:r>
      <w:r>
        <w:rPr>
          <w:rFonts w:eastAsiaTheme="minorEastAsia" w:hint="eastAsia"/>
          <w:sz w:val="20"/>
          <w:szCs w:val="20"/>
        </w:rPr>
        <w:t>conflict</w:t>
      </w:r>
      <w:r>
        <w:rPr>
          <w:rFonts w:hint="eastAsia"/>
          <w:sz w:val="20"/>
          <w:szCs w:val="20"/>
        </w:rPr>
        <w:t>.</w:t>
      </w:r>
    </w:p>
    <w:p w14:paraId="051F50A2" w14:textId="77777777" w:rsidR="00B960CB" w:rsidRDefault="00846CE0">
      <w:pPr>
        <w:pStyle w:val="YJ-Proposal"/>
        <w:spacing w:before="120" w:after="120"/>
        <w:rPr>
          <w:lang w:val="en-US" w:eastAsia="zh-CN"/>
        </w:rPr>
      </w:pPr>
      <w:bookmarkStart w:id="14" w:name="_Toc20617"/>
      <w:bookmarkStart w:id="15" w:name="_Toc29859"/>
      <w:bookmarkStart w:id="16" w:name="_Toc27240"/>
      <w:bookmarkStart w:id="17" w:name="_Toc7629311"/>
      <w:bookmarkStart w:id="18" w:name="_Toc7753654"/>
      <w:r>
        <w:rPr>
          <w:lang w:val="en-US" w:eastAsia="zh-CN"/>
        </w:rPr>
        <w:t>At least the information of Hard/Soft/NA configuration of the child node DU is necessary to be signaled to the IAB node.</w:t>
      </w:r>
      <w:bookmarkEnd w:id="14"/>
      <w:bookmarkEnd w:id="15"/>
      <w:bookmarkEnd w:id="16"/>
      <w:bookmarkEnd w:id="17"/>
      <w:bookmarkEnd w:id="18"/>
    </w:p>
    <w:p w14:paraId="1D651844" w14:textId="77777777" w:rsidR="00B960CB" w:rsidRDefault="00846CE0">
      <w:pPr>
        <w:pStyle w:val="Heading1"/>
        <w:spacing w:before="120" w:after="120"/>
        <w:ind w:left="0"/>
      </w:pPr>
      <w:r>
        <w:rPr>
          <w:rFonts w:eastAsia="SimHei" w:hint="eastAsia"/>
          <w:szCs w:val="30"/>
        </w:rPr>
        <w:t>DU resource configuration</w:t>
      </w:r>
    </w:p>
    <w:p w14:paraId="4A60B222" w14:textId="77777777" w:rsidR="00B960CB" w:rsidRDefault="00846CE0">
      <w:pPr>
        <w:autoSpaceDE w:val="0"/>
        <w:autoSpaceDN w:val="0"/>
        <w:adjustRightInd w:val="0"/>
        <w:snapToGrid w:val="0"/>
        <w:spacing w:before="120" w:after="120"/>
        <w:rPr>
          <w:sz w:val="20"/>
        </w:rPr>
      </w:pPr>
      <w:r>
        <w:rPr>
          <w:rFonts w:hint="eastAsia"/>
          <w:sz w:val="20"/>
        </w:rPr>
        <w:t>Regarding</w:t>
      </w:r>
      <w:r>
        <w:rPr>
          <w:color w:val="000000"/>
          <w:sz w:val="20"/>
        </w:rPr>
        <w:t xml:space="preserve"> the semi-static configuration </w:t>
      </w:r>
      <w:r>
        <w:rPr>
          <w:rFonts w:hint="eastAsia"/>
          <w:color w:val="000000"/>
          <w:sz w:val="20"/>
        </w:rPr>
        <w:t xml:space="preserve">for </w:t>
      </w:r>
      <w:r>
        <w:rPr>
          <w:color w:val="000000"/>
          <w:sz w:val="20"/>
        </w:rPr>
        <w:t>DU</w:t>
      </w:r>
      <w:r>
        <w:rPr>
          <w:rFonts w:hint="eastAsia"/>
          <w:color w:val="000000"/>
          <w:sz w:val="20"/>
        </w:rPr>
        <w:t xml:space="preserve"> resource</w:t>
      </w:r>
      <w:r>
        <w:rPr>
          <w:color w:val="000000"/>
          <w:sz w:val="20"/>
        </w:rPr>
        <w:t xml:space="preserve">, we discuss the following </w:t>
      </w:r>
      <w:r>
        <w:rPr>
          <w:rFonts w:hint="eastAsia"/>
          <w:color w:val="000000"/>
          <w:sz w:val="20"/>
        </w:rPr>
        <w:t xml:space="preserve">two </w:t>
      </w:r>
      <w:r>
        <w:rPr>
          <w:color w:val="000000"/>
          <w:sz w:val="20"/>
        </w:rPr>
        <w:t>schemes.</w:t>
      </w:r>
      <w:r>
        <w:rPr>
          <w:rFonts w:hint="eastAsia"/>
          <w:sz w:val="20"/>
        </w:rPr>
        <w:t xml:space="preserve"> </w:t>
      </w:r>
    </w:p>
    <w:p w14:paraId="7A9E9C7D" w14:textId="77777777" w:rsidR="00B960CB" w:rsidRDefault="00846CE0">
      <w:pPr>
        <w:pStyle w:val="ListParagraph"/>
        <w:numPr>
          <w:ilvl w:val="0"/>
          <w:numId w:val="10"/>
        </w:numPr>
        <w:autoSpaceDE w:val="0"/>
        <w:autoSpaceDN w:val="0"/>
        <w:adjustRightInd w:val="0"/>
        <w:snapToGrid w:val="0"/>
        <w:spacing w:before="156" w:after="120"/>
        <w:rPr>
          <w:color w:val="0D0D0D"/>
          <w:sz w:val="20"/>
          <w:szCs w:val="20"/>
        </w:rPr>
      </w:pPr>
      <w:r>
        <w:rPr>
          <w:color w:val="0D0D0D"/>
          <w:sz w:val="20"/>
          <w:szCs w:val="20"/>
        </w:rPr>
        <w:t>O</w:t>
      </w:r>
      <w:r>
        <w:rPr>
          <w:rFonts w:hint="eastAsia"/>
          <w:color w:val="0D0D0D"/>
          <w:sz w:val="20"/>
          <w:szCs w:val="20"/>
        </w:rPr>
        <w:t xml:space="preserve">ption 1: reuse NR semi-static resource </w:t>
      </w:r>
      <w:r>
        <w:rPr>
          <w:color w:val="0D0D0D"/>
          <w:sz w:val="20"/>
          <w:szCs w:val="20"/>
        </w:rPr>
        <w:t xml:space="preserve">configuration </w:t>
      </w:r>
      <w:r>
        <w:rPr>
          <w:rFonts w:hint="eastAsia"/>
          <w:color w:val="0D0D0D"/>
          <w:sz w:val="20"/>
          <w:szCs w:val="20"/>
        </w:rPr>
        <w:t>scheme as indicating</w:t>
      </w:r>
      <w:r>
        <w:rPr>
          <w:color w:val="0D0D0D"/>
          <w:sz w:val="20"/>
          <w:szCs w:val="20"/>
        </w:rPr>
        <w:t xml:space="preserve"> </w:t>
      </w:r>
      <w:r>
        <w:rPr>
          <w:rFonts w:hint="eastAsia"/>
          <w:color w:val="0D0D0D"/>
          <w:sz w:val="20"/>
          <w:szCs w:val="20"/>
        </w:rPr>
        <w:t xml:space="preserve">D/F/U for time domain resource, and further indicate </w:t>
      </w:r>
      <w:r>
        <w:rPr>
          <w:color w:val="0D0D0D"/>
          <w:sz w:val="20"/>
          <w:szCs w:val="20"/>
        </w:rPr>
        <w:t xml:space="preserve">additional </w:t>
      </w:r>
      <w:r>
        <w:rPr>
          <w:rFonts w:hint="eastAsia"/>
          <w:color w:val="0D0D0D"/>
          <w:sz w:val="20"/>
          <w:szCs w:val="20"/>
        </w:rPr>
        <w:t>DU resource types of H/S/NA;</w:t>
      </w:r>
    </w:p>
    <w:p w14:paraId="31E654F5" w14:textId="77777777" w:rsidR="00B960CB" w:rsidRDefault="00846CE0">
      <w:pPr>
        <w:pStyle w:val="ListParagraph"/>
        <w:numPr>
          <w:ilvl w:val="0"/>
          <w:numId w:val="10"/>
        </w:numPr>
        <w:autoSpaceDE w:val="0"/>
        <w:autoSpaceDN w:val="0"/>
        <w:adjustRightInd w:val="0"/>
        <w:snapToGrid w:val="0"/>
        <w:spacing w:before="156" w:after="120"/>
        <w:rPr>
          <w:color w:val="0D0D0D"/>
          <w:sz w:val="20"/>
          <w:szCs w:val="20"/>
        </w:rPr>
      </w:pPr>
      <w:r>
        <w:rPr>
          <w:color w:val="0D0D0D"/>
          <w:sz w:val="20"/>
          <w:szCs w:val="20"/>
        </w:rPr>
        <w:t>O</w:t>
      </w:r>
      <w:r>
        <w:rPr>
          <w:rFonts w:hint="eastAsia"/>
          <w:color w:val="0D0D0D"/>
          <w:sz w:val="20"/>
          <w:szCs w:val="20"/>
        </w:rPr>
        <w:t xml:space="preserve">ption 2: define </w:t>
      </w:r>
      <w:r>
        <w:rPr>
          <w:color w:val="0D0D0D"/>
          <w:sz w:val="20"/>
          <w:szCs w:val="20"/>
        </w:rPr>
        <w:t>new</w:t>
      </w:r>
      <w:r>
        <w:rPr>
          <w:rFonts w:hint="eastAsia"/>
          <w:color w:val="0D0D0D"/>
          <w:sz w:val="20"/>
          <w:szCs w:val="20"/>
        </w:rPr>
        <w:t xml:space="preserve"> configuration scheme for semi-static DU configuration</w:t>
      </w:r>
    </w:p>
    <w:p w14:paraId="6C56040E" w14:textId="77777777" w:rsidR="00B960CB" w:rsidRDefault="00846CE0">
      <w:pPr>
        <w:autoSpaceDE w:val="0"/>
        <w:autoSpaceDN w:val="0"/>
        <w:adjustRightInd w:val="0"/>
        <w:snapToGrid w:val="0"/>
        <w:spacing w:before="120" w:after="120"/>
        <w:rPr>
          <w:color w:val="0D0D0D"/>
          <w:sz w:val="20"/>
        </w:rPr>
      </w:pPr>
      <w:r>
        <w:rPr>
          <w:rFonts w:hint="eastAsia"/>
          <w:color w:val="0D0D0D"/>
          <w:sz w:val="20"/>
        </w:rPr>
        <w:t xml:space="preserve">In </w:t>
      </w:r>
      <w:r>
        <w:rPr>
          <w:color w:val="0D0D0D"/>
          <w:sz w:val="20"/>
        </w:rPr>
        <w:t>O</w:t>
      </w:r>
      <w:r>
        <w:rPr>
          <w:rFonts w:hint="eastAsia"/>
          <w:color w:val="0D0D0D"/>
          <w:sz w:val="20"/>
        </w:rPr>
        <w:t xml:space="preserve">ption 1, </w:t>
      </w:r>
      <w:r>
        <w:rPr>
          <w:color w:val="0D0D0D"/>
          <w:sz w:val="20"/>
        </w:rPr>
        <w:t xml:space="preserve">Rel-15 </w:t>
      </w:r>
      <w:r>
        <w:rPr>
          <w:rFonts w:hint="eastAsia"/>
          <w:color w:val="0D0D0D"/>
          <w:sz w:val="20"/>
        </w:rPr>
        <w:t xml:space="preserve">D/F/U indication scheme for all time domain resources can be reused with additional </w:t>
      </w:r>
      <w:r>
        <w:rPr>
          <w:color w:val="0D0D0D"/>
          <w:sz w:val="20"/>
        </w:rPr>
        <w:t xml:space="preserve">indications of </w:t>
      </w:r>
      <w:r>
        <w:rPr>
          <w:rFonts w:hint="eastAsia"/>
          <w:color w:val="0D0D0D"/>
          <w:sz w:val="20"/>
        </w:rPr>
        <w:t xml:space="preserve">H/S/NA. This scheme can provide sufficient flexibility on </w:t>
      </w:r>
      <w:r>
        <w:rPr>
          <w:color w:val="0D0D0D"/>
          <w:sz w:val="20"/>
        </w:rPr>
        <w:t xml:space="preserve">semi-static DU </w:t>
      </w:r>
      <w:r>
        <w:rPr>
          <w:rFonts w:hint="eastAsia"/>
          <w:color w:val="0D0D0D"/>
          <w:sz w:val="20"/>
        </w:rPr>
        <w:t xml:space="preserve">resource type configuration with less standard effort. </w:t>
      </w:r>
      <w:r>
        <w:rPr>
          <w:color w:val="0D0D0D"/>
          <w:sz w:val="20"/>
        </w:rPr>
        <w:t xml:space="preserve">In contrast, the </w:t>
      </w:r>
      <w:r>
        <w:rPr>
          <w:rFonts w:hint="eastAsia"/>
          <w:color w:val="0D0D0D"/>
          <w:sz w:val="20"/>
        </w:rPr>
        <w:t xml:space="preserve">new DU resource configuration scheme </w:t>
      </w:r>
      <w:r>
        <w:rPr>
          <w:color w:val="0D0D0D"/>
          <w:sz w:val="20"/>
        </w:rPr>
        <w:t xml:space="preserve">other than in option 1 </w:t>
      </w:r>
      <w:r>
        <w:rPr>
          <w:rFonts w:hint="eastAsia"/>
          <w:color w:val="0D0D0D"/>
          <w:sz w:val="20"/>
        </w:rPr>
        <w:t>certainly requires more standard efforts</w:t>
      </w:r>
      <w:r>
        <w:rPr>
          <w:color w:val="0D0D0D"/>
          <w:sz w:val="20"/>
        </w:rPr>
        <w:t xml:space="preserve"> with</w:t>
      </w:r>
      <w:r>
        <w:rPr>
          <w:rFonts w:hint="eastAsia"/>
          <w:color w:val="0D0D0D"/>
          <w:sz w:val="20"/>
        </w:rPr>
        <w:t>out extra</w:t>
      </w:r>
      <w:r>
        <w:rPr>
          <w:color w:val="0D0D0D"/>
          <w:sz w:val="20"/>
        </w:rPr>
        <w:t xml:space="preserve"> benefits</w:t>
      </w:r>
      <w:r>
        <w:rPr>
          <w:rFonts w:hint="eastAsia"/>
          <w:color w:val="0D0D0D"/>
          <w:sz w:val="20"/>
        </w:rPr>
        <w:t xml:space="preserve"> comparing to option 1</w:t>
      </w:r>
      <w:r>
        <w:rPr>
          <w:color w:val="0D0D0D"/>
          <w:sz w:val="20"/>
        </w:rPr>
        <w:t>.</w:t>
      </w:r>
    </w:p>
    <w:p w14:paraId="3AE6911C" w14:textId="77777777" w:rsidR="00B960CB" w:rsidRDefault="00846CE0">
      <w:pPr>
        <w:autoSpaceDE w:val="0"/>
        <w:autoSpaceDN w:val="0"/>
        <w:adjustRightInd w:val="0"/>
        <w:snapToGrid w:val="0"/>
        <w:spacing w:before="120" w:after="120"/>
        <w:rPr>
          <w:color w:val="0D0D0D"/>
          <w:sz w:val="20"/>
        </w:rPr>
      </w:pPr>
      <w:r>
        <w:rPr>
          <w:rFonts w:hint="eastAsia"/>
          <w:color w:val="0D0D0D"/>
          <w:sz w:val="20"/>
        </w:rPr>
        <w:lastRenderedPageBreak/>
        <w:t>In addition, as we propose</w:t>
      </w:r>
      <w:r>
        <w:rPr>
          <w:color w:val="0D0D0D"/>
          <w:sz w:val="20"/>
        </w:rPr>
        <w:t>d</w:t>
      </w:r>
      <w:r>
        <w:rPr>
          <w:rFonts w:hint="eastAsia"/>
          <w:color w:val="0D0D0D"/>
          <w:sz w:val="20"/>
        </w:rPr>
        <w:t xml:space="preserve"> in section 3, </w:t>
      </w:r>
      <w:r>
        <w:rPr>
          <w:color w:val="0D0D0D"/>
          <w:sz w:val="20"/>
        </w:rPr>
        <w:t xml:space="preserve">information of </w:t>
      </w:r>
      <w:r>
        <w:rPr>
          <w:rFonts w:hint="eastAsia"/>
          <w:color w:val="0D0D0D"/>
          <w:sz w:val="20"/>
        </w:rPr>
        <w:t xml:space="preserve">H/S/NA type resources </w:t>
      </w:r>
      <w:r>
        <w:rPr>
          <w:color w:val="0D0D0D"/>
          <w:sz w:val="20"/>
        </w:rPr>
        <w:t xml:space="preserve">on child node DU </w:t>
      </w:r>
      <w:r>
        <w:rPr>
          <w:rFonts w:hint="eastAsia"/>
          <w:color w:val="0D0D0D"/>
          <w:sz w:val="20"/>
        </w:rPr>
        <w:t>should be necessary for the parent node</w:t>
      </w:r>
      <w:r>
        <w:rPr>
          <w:color w:val="0D0D0D"/>
          <w:sz w:val="20"/>
        </w:rPr>
        <w:t xml:space="preserve"> to know</w:t>
      </w:r>
      <w:r>
        <w:rPr>
          <w:rFonts w:hint="eastAsia"/>
          <w:color w:val="0D0D0D"/>
          <w:sz w:val="20"/>
        </w:rPr>
        <w:t xml:space="preserve">. Option 1 is more suitable for </w:t>
      </w:r>
      <w:r>
        <w:rPr>
          <w:color w:val="0D0D0D"/>
          <w:sz w:val="20"/>
        </w:rPr>
        <w:t>that purpose</w:t>
      </w:r>
      <w:r>
        <w:rPr>
          <w:rFonts w:hint="eastAsia"/>
          <w:color w:val="0D0D0D"/>
          <w:sz w:val="20"/>
        </w:rPr>
        <w:t xml:space="preserve">. </w:t>
      </w:r>
    </w:p>
    <w:p w14:paraId="3A59BB1C" w14:textId="77777777" w:rsidR="00B960CB" w:rsidRDefault="00846CE0">
      <w:pPr>
        <w:pStyle w:val="YJ-Proposal"/>
        <w:spacing w:before="120" w:after="120"/>
        <w:rPr>
          <w:lang w:val="en-US" w:eastAsia="zh-CN"/>
        </w:rPr>
      </w:pPr>
      <w:bookmarkStart w:id="19" w:name="_Toc7617789"/>
      <w:bookmarkStart w:id="20" w:name="_Toc21039"/>
      <w:bookmarkStart w:id="21" w:name="_Toc7629312"/>
      <w:bookmarkStart w:id="22" w:name="_Toc7753655"/>
      <w:r>
        <w:rPr>
          <w:lang w:val="en-US" w:eastAsia="zh-CN"/>
        </w:rPr>
        <w:t>For</w:t>
      </w:r>
      <w:r>
        <w:rPr>
          <w:rFonts w:hint="eastAsia"/>
          <w:lang w:val="en-US" w:eastAsia="zh-CN"/>
        </w:rPr>
        <w:t xml:space="preserve"> semi-static DU </w:t>
      </w:r>
      <w:r>
        <w:rPr>
          <w:lang w:val="en-US" w:eastAsia="zh-CN"/>
        </w:rPr>
        <w:t xml:space="preserve">resource </w:t>
      </w:r>
      <w:r>
        <w:rPr>
          <w:rFonts w:hint="eastAsia"/>
          <w:lang w:val="en-US" w:eastAsia="zh-CN"/>
        </w:rPr>
        <w:t xml:space="preserve">configuration, besides D/F/U configuration similar to NR Uu configuration, </w:t>
      </w:r>
      <w:r>
        <w:rPr>
          <w:lang w:val="en-US" w:eastAsia="zh-CN"/>
        </w:rPr>
        <w:t>additional</w:t>
      </w:r>
      <w:r>
        <w:rPr>
          <w:rFonts w:hint="eastAsia"/>
          <w:lang w:val="en-US" w:eastAsia="zh-CN"/>
        </w:rPr>
        <w:t xml:space="preserve"> indication of H/S/NA is needed.</w:t>
      </w:r>
      <w:bookmarkEnd w:id="19"/>
      <w:bookmarkEnd w:id="20"/>
      <w:bookmarkEnd w:id="21"/>
      <w:bookmarkEnd w:id="22"/>
    </w:p>
    <w:p w14:paraId="1F6BF625" w14:textId="77777777" w:rsidR="00B960CB" w:rsidRDefault="00846CE0">
      <w:pPr>
        <w:numPr>
          <w:ilvl w:val="255"/>
          <w:numId w:val="0"/>
        </w:numPr>
        <w:autoSpaceDE w:val="0"/>
        <w:autoSpaceDN w:val="0"/>
        <w:adjustRightInd w:val="0"/>
        <w:snapToGrid w:val="0"/>
        <w:spacing w:before="120" w:after="120"/>
        <w:rPr>
          <w:color w:val="0D0D0D"/>
          <w:sz w:val="20"/>
        </w:rPr>
      </w:pPr>
      <w:r>
        <w:rPr>
          <w:rFonts w:hint="eastAsia"/>
          <w:color w:val="0D0D0D"/>
          <w:sz w:val="20"/>
        </w:rPr>
        <w:t xml:space="preserve">One </w:t>
      </w:r>
      <w:r>
        <w:rPr>
          <w:color w:val="0D0D0D"/>
          <w:sz w:val="20"/>
        </w:rPr>
        <w:t>issue of allowing per-child-link DU resource configuration is to potentially break the assumption of SI agreement on the TDM behavior table to solve the potential conflict between MT resource configuration and DU resource configuration. That agreement was based on the assumption of single DU resource to be configured per IAB node, to cover multiple child links</w:t>
      </w:r>
      <w:r>
        <w:rPr>
          <w:rFonts w:hint="eastAsia"/>
          <w:color w:val="0D0D0D"/>
          <w:sz w:val="20"/>
        </w:rPr>
        <w:t>.</w:t>
      </w:r>
    </w:p>
    <w:p w14:paraId="0BCE9C2C" w14:textId="77777777" w:rsidR="00B960CB" w:rsidRDefault="00846CE0">
      <w:pPr>
        <w:pStyle w:val="YJ-Proposal"/>
        <w:spacing w:before="120" w:after="120"/>
        <w:rPr>
          <w:lang w:val="en-US" w:eastAsia="zh-CN"/>
        </w:rPr>
      </w:pPr>
      <w:bookmarkStart w:id="23" w:name="_Toc3924"/>
      <w:bookmarkStart w:id="24" w:name="_Toc7629313"/>
      <w:bookmarkStart w:id="25" w:name="_Toc7753656"/>
      <w:r>
        <w:rPr>
          <w:rFonts w:hint="eastAsia"/>
          <w:lang w:val="en-US" w:eastAsia="zh-CN"/>
        </w:rPr>
        <w:t xml:space="preserve">IAB-node/IAB-donor DU resource </w:t>
      </w:r>
      <w:r>
        <w:rPr>
          <w:lang w:val="en-US" w:eastAsia="zh-CN"/>
        </w:rPr>
        <w:t xml:space="preserve">configuration should be on a </w:t>
      </w:r>
      <w:r>
        <w:rPr>
          <w:rFonts w:hint="eastAsia"/>
          <w:lang w:val="en-US" w:eastAsia="zh-CN"/>
        </w:rPr>
        <w:t>per DU</w:t>
      </w:r>
      <w:r>
        <w:rPr>
          <w:lang w:val="en-US" w:eastAsia="zh-CN"/>
        </w:rPr>
        <w:t xml:space="preserve"> basis</w:t>
      </w:r>
      <w:r>
        <w:rPr>
          <w:rFonts w:hint="eastAsia"/>
          <w:lang w:val="en-US" w:eastAsia="zh-CN"/>
        </w:rPr>
        <w:t>.</w:t>
      </w:r>
      <w:bookmarkStart w:id="26" w:name="_Toc27735"/>
      <w:bookmarkStart w:id="27" w:name="_Toc30621"/>
      <w:bookmarkStart w:id="28" w:name="_Toc8582"/>
      <w:bookmarkStart w:id="29" w:name="_Toc32198"/>
      <w:bookmarkStart w:id="30" w:name="_Toc20257"/>
      <w:bookmarkStart w:id="31" w:name="_Toc15096"/>
      <w:bookmarkStart w:id="32" w:name="_Toc3821"/>
      <w:bookmarkStart w:id="33" w:name="_Toc18214"/>
      <w:bookmarkStart w:id="34" w:name="_Toc11540"/>
      <w:bookmarkEnd w:id="23"/>
      <w:bookmarkEnd w:id="24"/>
      <w:bookmarkEnd w:id="25"/>
      <w:bookmarkEnd w:id="26"/>
      <w:bookmarkEnd w:id="27"/>
      <w:bookmarkEnd w:id="28"/>
      <w:bookmarkEnd w:id="29"/>
      <w:bookmarkEnd w:id="30"/>
      <w:bookmarkEnd w:id="31"/>
      <w:bookmarkEnd w:id="32"/>
      <w:bookmarkEnd w:id="33"/>
      <w:bookmarkEnd w:id="34"/>
    </w:p>
    <w:p w14:paraId="1049F657" w14:textId="77777777" w:rsidR="00B960CB" w:rsidRDefault="00846CE0">
      <w:pPr>
        <w:pStyle w:val="Heading1"/>
        <w:spacing w:before="120" w:after="120"/>
        <w:ind w:left="0"/>
      </w:pPr>
      <w:r>
        <w:rPr>
          <w:rFonts w:eastAsia="SimHei" w:hint="eastAsia"/>
          <w:szCs w:val="30"/>
        </w:rPr>
        <w:t>Explicit soft resource indication</w:t>
      </w:r>
    </w:p>
    <w:p w14:paraId="007C1D7C" w14:textId="77777777" w:rsidR="00B960CB" w:rsidRDefault="00846CE0">
      <w:pPr>
        <w:autoSpaceDE w:val="0"/>
        <w:autoSpaceDN w:val="0"/>
        <w:adjustRightInd w:val="0"/>
        <w:snapToGrid w:val="0"/>
        <w:spacing w:before="120" w:after="120"/>
        <w:rPr>
          <w:sz w:val="20"/>
        </w:rPr>
      </w:pPr>
      <w:r>
        <w:rPr>
          <w:rFonts w:hint="eastAsia"/>
          <w:sz w:val="20"/>
        </w:rPr>
        <w:t>In RAN1 #96 meeting, the multiplexing granularity between access and backhaul links was agreed as following</w:t>
      </w:r>
      <w:r>
        <w:rPr>
          <w:sz w:val="20"/>
        </w:rPr>
        <w:t xml:space="preserve"> </w:t>
      </w:r>
      <w:r>
        <w:rPr>
          <w:rFonts w:hint="eastAsia"/>
          <w:sz w:val="20"/>
        </w:rPr>
        <w:t>[3]:</w:t>
      </w:r>
    </w:p>
    <w:p w14:paraId="3483C22A" w14:textId="77777777" w:rsidR="00B960CB" w:rsidRDefault="00846CE0">
      <w:pPr>
        <w:autoSpaceDE w:val="0"/>
        <w:autoSpaceDN w:val="0"/>
        <w:adjustRightInd w:val="0"/>
        <w:snapToGrid w:val="0"/>
        <w:spacing w:before="120" w:after="120"/>
        <w:ind w:left="360"/>
        <w:rPr>
          <w:sz w:val="20"/>
        </w:rPr>
      </w:pPr>
      <w:r>
        <w:rPr>
          <w:sz w:val="20"/>
          <w:highlight w:val="green"/>
        </w:rPr>
        <w:t>Agreements</w:t>
      </w:r>
      <w:r>
        <w:rPr>
          <w:sz w:val="20"/>
        </w:rPr>
        <w:t>:</w:t>
      </w:r>
    </w:p>
    <w:p w14:paraId="3DBC8DDD" w14:textId="77777777" w:rsidR="00B960CB" w:rsidRDefault="00846CE0">
      <w:pPr>
        <w:autoSpaceDE w:val="0"/>
        <w:autoSpaceDN w:val="0"/>
        <w:adjustRightInd w:val="0"/>
        <w:snapToGrid w:val="0"/>
        <w:spacing w:before="120" w:after="120"/>
        <w:ind w:left="360"/>
        <w:rPr>
          <w:i/>
          <w:sz w:val="20"/>
        </w:rPr>
      </w:pPr>
      <w:r>
        <w:rPr>
          <w:i/>
          <w:sz w:val="20"/>
        </w:rPr>
        <w:t>Both slot and symbol-level multiplexing of access and backhaul links are supported.</w:t>
      </w:r>
    </w:p>
    <w:p w14:paraId="059B3D01" w14:textId="77777777" w:rsidR="00B960CB" w:rsidRDefault="00846CE0">
      <w:pPr>
        <w:autoSpaceDE w:val="0"/>
        <w:autoSpaceDN w:val="0"/>
        <w:adjustRightInd w:val="0"/>
        <w:snapToGrid w:val="0"/>
        <w:spacing w:before="120" w:after="120"/>
        <w:rPr>
          <w:sz w:val="20"/>
        </w:rPr>
      </w:pPr>
      <w:r>
        <w:rPr>
          <w:rFonts w:hint="eastAsia"/>
          <w:sz w:val="20"/>
        </w:rPr>
        <w:t xml:space="preserve">In order to support resource multiplexing efficiently, the explicit indication should support symbol-level granularity. </w:t>
      </w:r>
      <w:r>
        <w:rPr>
          <w:sz w:val="20"/>
        </w:rPr>
        <w:t xml:space="preserve">Because Rel-15 </w:t>
      </w:r>
      <w:r>
        <w:rPr>
          <w:rFonts w:hint="eastAsia"/>
          <w:sz w:val="20"/>
        </w:rPr>
        <w:t>DCI</w:t>
      </w:r>
      <w:r>
        <w:rPr>
          <w:sz w:val="20"/>
        </w:rPr>
        <w:t xml:space="preserve"> format </w:t>
      </w:r>
      <w:r>
        <w:rPr>
          <w:rFonts w:hint="eastAsia"/>
          <w:sz w:val="20"/>
        </w:rPr>
        <w:t>2_0 can indicate D</w:t>
      </w:r>
      <w:r>
        <w:rPr>
          <w:sz w:val="20"/>
        </w:rPr>
        <w:t>/</w:t>
      </w:r>
      <w:r>
        <w:rPr>
          <w:rFonts w:hint="eastAsia"/>
          <w:sz w:val="20"/>
        </w:rPr>
        <w:t>F</w:t>
      </w:r>
      <w:r>
        <w:rPr>
          <w:sz w:val="20"/>
        </w:rPr>
        <w:t>/</w:t>
      </w:r>
      <w:r>
        <w:rPr>
          <w:rFonts w:hint="eastAsia"/>
          <w:sz w:val="20"/>
        </w:rPr>
        <w:t xml:space="preserve">U on symbol(s)-level, the </w:t>
      </w:r>
      <w:r>
        <w:rPr>
          <w:sz w:val="20"/>
        </w:rPr>
        <w:t xml:space="preserve">explicit </w:t>
      </w:r>
      <w:r>
        <w:rPr>
          <w:rFonts w:hint="eastAsia"/>
          <w:sz w:val="20"/>
        </w:rPr>
        <w:t>indication scheme based on DCI</w:t>
      </w:r>
      <w:r>
        <w:rPr>
          <w:sz w:val="20"/>
        </w:rPr>
        <w:t xml:space="preserve"> format </w:t>
      </w:r>
      <w:r>
        <w:rPr>
          <w:rFonts w:hint="eastAsia"/>
          <w:sz w:val="20"/>
        </w:rPr>
        <w:t>2_0 could be a starting point.</w:t>
      </w:r>
    </w:p>
    <w:p w14:paraId="2F8005C3" w14:textId="77777777" w:rsidR="00B960CB" w:rsidRDefault="00846CE0">
      <w:pPr>
        <w:autoSpaceDE w:val="0"/>
        <w:autoSpaceDN w:val="0"/>
        <w:adjustRightInd w:val="0"/>
        <w:snapToGrid w:val="0"/>
        <w:spacing w:before="120" w:after="120"/>
        <w:rPr>
          <w:sz w:val="20"/>
        </w:rPr>
      </w:pPr>
      <w:r>
        <w:rPr>
          <w:rFonts w:hint="eastAsia"/>
          <w:sz w:val="20"/>
        </w:rPr>
        <w:t xml:space="preserve">For dynamic indication of soft DU resource, the indication scheme should be flexible enough to indicate some symbols within a slot as available. A table with predefined availability patterns is expected. Table 1 </w:t>
      </w:r>
      <w:r>
        <w:rPr>
          <w:sz w:val="20"/>
        </w:rPr>
        <w:t>shows the</w:t>
      </w:r>
      <w:r>
        <w:rPr>
          <w:rFonts w:hint="eastAsia"/>
          <w:sz w:val="20"/>
        </w:rPr>
        <w:t xml:space="preserve"> example</w:t>
      </w:r>
      <w:r>
        <w:rPr>
          <w:sz w:val="20"/>
        </w:rPr>
        <w:t>s</w:t>
      </w:r>
      <w:r>
        <w:rPr>
          <w:rFonts w:hint="eastAsia"/>
          <w:sz w:val="20"/>
        </w:rPr>
        <w:t xml:space="preserve"> </w:t>
      </w:r>
      <w:r>
        <w:rPr>
          <w:sz w:val="20"/>
        </w:rPr>
        <w:t xml:space="preserve">of such soft resource indication (SRI) patterns, </w:t>
      </w:r>
      <w:r>
        <w:rPr>
          <w:rFonts w:hint="eastAsia"/>
          <w:sz w:val="20"/>
        </w:rPr>
        <w:t xml:space="preserve">where </w:t>
      </w:r>
      <w:r>
        <w:rPr>
          <w:sz w:val="20"/>
        </w:rPr>
        <w:t>“</w:t>
      </w:r>
      <w:r>
        <w:rPr>
          <w:rFonts w:hint="eastAsia"/>
          <w:sz w:val="20"/>
        </w:rPr>
        <w:t>1</w:t>
      </w:r>
      <w:r>
        <w:rPr>
          <w:sz w:val="20"/>
        </w:rPr>
        <w:t>”</w:t>
      </w:r>
      <w:r>
        <w:rPr>
          <w:rFonts w:hint="eastAsia"/>
          <w:sz w:val="20"/>
        </w:rPr>
        <w:t xml:space="preserve"> in each availability pattern means </w:t>
      </w:r>
      <w:r>
        <w:rPr>
          <w:sz w:val="20"/>
        </w:rPr>
        <w:t xml:space="preserve">that </w:t>
      </w:r>
      <w:r>
        <w:rPr>
          <w:rFonts w:hint="eastAsia"/>
          <w:sz w:val="20"/>
        </w:rPr>
        <w:t>the corresponding OFDM symbol within the slot</w:t>
      </w:r>
      <w:r>
        <w:rPr>
          <w:sz w:val="20"/>
        </w:rPr>
        <w:t xml:space="preserve"> is Soft Available</w:t>
      </w:r>
      <w:r>
        <w:rPr>
          <w:rFonts w:hint="eastAsia"/>
          <w:sz w:val="20"/>
        </w:rPr>
        <w:t>.</w:t>
      </w:r>
      <w:r>
        <w:rPr>
          <w:sz w:val="20"/>
        </w:rPr>
        <w:t xml:space="preserve"> T</w:t>
      </w:r>
      <w:r>
        <w:rPr>
          <w:rFonts w:hint="eastAsia"/>
          <w:sz w:val="20"/>
        </w:rPr>
        <w:t xml:space="preserve">he combination of multiple SRI indices </w:t>
      </w:r>
      <w:r>
        <w:rPr>
          <w:sz w:val="20"/>
        </w:rPr>
        <w:t xml:space="preserve">is also expected </w:t>
      </w:r>
      <w:r>
        <w:rPr>
          <w:rFonts w:hint="eastAsia"/>
          <w:sz w:val="20"/>
        </w:rPr>
        <w:t>to indicate the availability of soft resource</w:t>
      </w:r>
      <w:r>
        <w:rPr>
          <w:sz w:val="20"/>
        </w:rPr>
        <w:t>s</w:t>
      </w:r>
      <w:r>
        <w:rPr>
          <w:rFonts w:hint="eastAsia"/>
          <w:sz w:val="20"/>
        </w:rPr>
        <w:t xml:space="preserve"> across a number of continuous slots.</w:t>
      </w:r>
    </w:p>
    <w:p w14:paraId="5D69DEBB" w14:textId="77777777" w:rsidR="00B960CB" w:rsidRDefault="00846CE0">
      <w:pPr>
        <w:autoSpaceDE w:val="0"/>
        <w:autoSpaceDN w:val="0"/>
        <w:adjustRightInd w:val="0"/>
        <w:snapToGrid w:val="0"/>
        <w:spacing w:before="120" w:after="120"/>
        <w:jc w:val="center"/>
        <w:rPr>
          <w:sz w:val="20"/>
        </w:rPr>
      </w:pPr>
      <w:r>
        <w:rPr>
          <w:rFonts w:hint="eastAsia"/>
          <w:sz w:val="20"/>
        </w:rPr>
        <w:t>Table 1 soft resource indication</w:t>
      </w:r>
      <w:r>
        <w:rPr>
          <w:sz w:val="20"/>
        </w:rPr>
        <w:t xml:space="preserve"> </w:t>
      </w:r>
      <w:r>
        <w:rPr>
          <w:rFonts w:hint="eastAsia"/>
          <w:sz w:val="20"/>
        </w:rPr>
        <w:t>(SRI) index</w:t>
      </w:r>
    </w:p>
    <w:tbl>
      <w:tblPr>
        <w:tblStyle w:val="TableGrid"/>
        <w:tblW w:w="4157" w:type="dxa"/>
        <w:jc w:val="center"/>
        <w:tblLayout w:type="fixed"/>
        <w:tblLook w:val="04A0" w:firstRow="1" w:lastRow="0" w:firstColumn="1" w:lastColumn="0" w:noHBand="0" w:noVBand="1"/>
      </w:tblPr>
      <w:tblGrid>
        <w:gridCol w:w="1268"/>
        <w:gridCol w:w="2889"/>
      </w:tblGrid>
      <w:tr w:rsidR="00B960CB" w14:paraId="59DBF09D" w14:textId="77777777">
        <w:trPr>
          <w:jc w:val="center"/>
        </w:trPr>
        <w:tc>
          <w:tcPr>
            <w:tcW w:w="1268" w:type="dxa"/>
          </w:tcPr>
          <w:p w14:paraId="4192A46B" w14:textId="77777777" w:rsidR="00B960CB" w:rsidRDefault="00846CE0">
            <w:pPr>
              <w:autoSpaceDE w:val="0"/>
              <w:autoSpaceDN w:val="0"/>
              <w:adjustRightInd w:val="0"/>
              <w:snapToGrid w:val="0"/>
              <w:spacing w:before="120" w:after="120"/>
              <w:rPr>
                <w:sz w:val="20"/>
              </w:rPr>
            </w:pPr>
            <w:r>
              <w:rPr>
                <w:rFonts w:hint="eastAsia"/>
                <w:sz w:val="20"/>
              </w:rPr>
              <w:t>SRI index</w:t>
            </w:r>
          </w:p>
        </w:tc>
        <w:tc>
          <w:tcPr>
            <w:tcW w:w="2889" w:type="dxa"/>
          </w:tcPr>
          <w:p w14:paraId="31BA79B5" w14:textId="77777777" w:rsidR="00B960CB" w:rsidRDefault="00846CE0">
            <w:pPr>
              <w:autoSpaceDE w:val="0"/>
              <w:autoSpaceDN w:val="0"/>
              <w:adjustRightInd w:val="0"/>
              <w:snapToGrid w:val="0"/>
              <w:spacing w:before="120" w:after="120"/>
              <w:rPr>
                <w:sz w:val="20"/>
              </w:rPr>
            </w:pPr>
            <w:r>
              <w:rPr>
                <w:rFonts w:hint="eastAsia"/>
                <w:sz w:val="20"/>
              </w:rPr>
              <w:t>Availability pattern</w:t>
            </w:r>
          </w:p>
        </w:tc>
      </w:tr>
      <w:tr w:rsidR="00B960CB" w14:paraId="0A341A0C" w14:textId="77777777">
        <w:trPr>
          <w:jc w:val="center"/>
        </w:trPr>
        <w:tc>
          <w:tcPr>
            <w:tcW w:w="1268" w:type="dxa"/>
          </w:tcPr>
          <w:p w14:paraId="65AAAB66" w14:textId="77777777" w:rsidR="00B960CB" w:rsidRDefault="00846CE0">
            <w:pPr>
              <w:autoSpaceDE w:val="0"/>
              <w:autoSpaceDN w:val="0"/>
              <w:adjustRightInd w:val="0"/>
              <w:snapToGrid w:val="0"/>
              <w:spacing w:before="120" w:after="120"/>
              <w:rPr>
                <w:sz w:val="20"/>
              </w:rPr>
            </w:pPr>
            <w:r>
              <w:rPr>
                <w:rFonts w:hint="eastAsia"/>
                <w:sz w:val="20"/>
              </w:rPr>
              <w:t>0</w:t>
            </w:r>
          </w:p>
        </w:tc>
        <w:tc>
          <w:tcPr>
            <w:tcW w:w="2889" w:type="dxa"/>
          </w:tcPr>
          <w:p w14:paraId="5F7E4544" w14:textId="77777777" w:rsidR="00B960CB" w:rsidRDefault="00846CE0">
            <w:pPr>
              <w:autoSpaceDE w:val="0"/>
              <w:autoSpaceDN w:val="0"/>
              <w:adjustRightInd w:val="0"/>
              <w:snapToGrid w:val="0"/>
              <w:spacing w:before="120" w:after="120"/>
              <w:rPr>
                <w:sz w:val="20"/>
              </w:rPr>
            </w:pPr>
            <w:r>
              <w:rPr>
                <w:rFonts w:hint="eastAsia"/>
                <w:sz w:val="20"/>
              </w:rPr>
              <w:t>[1 1 1 1 1 1 1 1 1 1 1 1 1 1]</w:t>
            </w:r>
          </w:p>
        </w:tc>
      </w:tr>
      <w:tr w:rsidR="00B960CB" w14:paraId="34511943" w14:textId="77777777">
        <w:trPr>
          <w:jc w:val="center"/>
        </w:trPr>
        <w:tc>
          <w:tcPr>
            <w:tcW w:w="1268" w:type="dxa"/>
          </w:tcPr>
          <w:p w14:paraId="0BD7F7C2" w14:textId="77777777" w:rsidR="00B960CB" w:rsidRDefault="00846CE0">
            <w:pPr>
              <w:autoSpaceDE w:val="0"/>
              <w:autoSpaceDN w:val="0"/>
              <w:adjustRightInd w:val="0"/>
              <w:snapToGrid w:val="0"/>
              <w:spacing w:before="120" w:after="120"/>
              <w:rPr>
                <w:sz w:val="20"/>
              </w:rPr>
            </w:pPr>
            <w:r>
              <w:rPr>
                <w:rFonts w:hint="eastAsia"/>
                <w:sz w:val="20"/>
              </w:rPr>
              <w:t>1</w:t>
            </w:r>
          </w:p>
        </w:tc>
        <w:tc>
          <w:tcPr>
            <w:tcW w:w="2889" w:type="dxa"/>
          </w:tcPr>
          <w:p w14:paraId="77488632" w14:textId="77777777" w:rsidR="00B960CB" w:rsidRDefault="00846CE0">
            <w:pPr>
              <w:autoSpaceDE w:val="0"/>
              <w:autoSpaceDN w:val="0"/>
              <w:adjustRightInd w:val="0"/>
              <w:snapToGrid w:val="0"/>
              <w:spacing w:before="120" w:after="120"/>
              <w:rPr>
                <w:sz w:val="20"/>
              </w:rPr>
            </w:pPr>
            <w:r>
              <w:rPr>
                <w:rFonts w:hint="eastAsia"/>
                <w:sz w:val="20"/>
              </w:rPr>
              <w:t>[0 0 0 0 0 0 0 0 0 0 0 0 0 0]</w:t>
            </w:r>
          </w:p>
        </w:tc>
      </w:tr>
      <w:tr w:rsidR="00B960CB" w14:paraId="76E2A5BA" w14:textId="77777777">
        <w:trPr>
          <w:jc w:val="center"/>
        </w:trPr>
        <w:tc>
          <w:tcPr>
            <w:tcW w:w="1268" w:type="dxa"/>
          </w:tcPr>
          <w:p w14:paraId="2642E4CD" w14:textId="77777777" w:rsidR="00B960CB" w:rsidRDefault="00846CE0">
            <w:pPr>
              <w:autoSpaceDE w:val="0"/>
              <w:autoSpaceDN w:val="0"/>
              <w:adjustRightInd w:val="0"/>
              <w:snapToGrid w:val="0"/>
              <w:spacing w:before="120" w:after="120"/>
              <w:rPr>
                <w:sz w:val="20"/>
              </w:rPr>
            </w:pPr>
            <w:r>
              <w:rPr>
                <w:rFonts w:hint="eastAsia"/>
                <w:sz w:val="20"/>
              </w:rPr>
              <w:t>2</w:t>
            </w:r>
          </w:p>
        </w:tc>
        <w:tc>
          <w:tcPr>
            <w:tcW w:w="2889" w:type="dxa"/>
          </w:tcPr>
          <w:p w14:paraId="6F504E8F" w14:textId="77777777" w:rsidR="00B960CB" w:rsidRDefault="00846CE0">
            <w:pPr>
              <w:autoSpaceDE w:val="0"/>
              <w:autoSpaceDN w:val="0"/>
              <w:adjustRightInd w:val="0"/>
              <w:snapToGrid w:val="0"/>
              <w:spacing w:before="120" w:after="120"/>
              <w:rPr>
                <w:sz w:val="20"/>
              </w:rPr>
            </w:pPr>
            <w:r>
              <w:rPr>
                <w:rFonts w:hint="eastAsia"/>
                <w:sz w:val="20"/>
              </w:rPr>
              <w:t>[1 1 1 1 1 1 1 0 0 0 0 0 0 0]</w:t>
            </w:r>
          </w:p>
        </w:tc>
      </w:tr>
      <w:tr w:rsidR="00B960CB" w14:paraId="05409FE1" w14:textId="77777777">
        <w:trPr>
          <w:jc w:val="center"/>
        </w:trPr>
        <w:tc>
          <w:tcPr>
            <w:tcW w:w="1268" w:type="dxa"/>
          </w:tcPr>
          <w:p w14:paraId="6FFCD26B" w14:textId="77777777" w:rsidR="00B960CB" w:rsidRDefault="00846CE0">
            <w:pPr>
              <w:autoSpaceDE w:val="0"/>
              <w:autoSpaceDN w:val="0"/>
              <w:adjustRightInd w:val="0"/>
              <w:snapToGrid w:val="0"/>
              <w:spacing w:before="120" w:after="120"/>
              <w:rPr>
                <w:sz w:val="20"/>
              </w:rPr>
            </w:pPr>
            <w:r>
              <w:rPr>
                <w:rFonts w:hint="eastAsia"/>
                <w:sz w:val="20"/>
              </w:rPr>
              <w:t>...</w:t>
            </w:r>
          </w:p>
        </w:tc>
        <w:tc>
          <w:tcPr>
            <w:tcW w:w="2889" w:type="dxa"/>
          </w:tcPr>
          <w:p w14:paraId="51214AD5" w14:textId="77777777" w:rsidR="00B960CB" w:rsidRDefault="00846CE0">
            <w:pPr>
              <w:autoSpaceDE w:val="0"/>
              <w:autoSpaceDN w:val="0"/>
              <w:adjustRightInd w:val="0"/>
              <w:snapToGrid w:val="0"/>
              <w:spacing w:before="120" w:after="120"/>
              <w:rPr>
                <w:sz w:val="20"/>
              </w:rPr>
            </w:pPr>
            <w:r>
              <w:rPr>
                <w:rFonts w:hint="eastAsia"/>
                <w:sz w:val="20"/>
              </w:rPr>
              <w:t>...</w:t>
            </w:r>
          </w:p>
        </w:tc>
      </w:tr>
    </w:tbl>
    <w:p w14:paraId="1B422DB1" w14:textId="77777777" w:rsidR="00B960CB" w:rsidRDefault="00846CE0">
      <w:pPr>
        <w:pStyle w:val="YJ-Proposal"/>
        <w:spacing w:before="120" w:after="120"/>
        <w:rPr>
          <w:lang w:val="en-US" w:eastAsia="zh-CN"/>
        </w:rPr>
      </w:pPr>
      <w:bookmarkStart w:id="35" w:name="_Toc7629314"/>
      <w:bookmarkStart w:id="36" w:name="_Toc25662"/>
      <w:bookmarkStart w:id="37" w:name="_Toc7617790"/>
      <w:bookmarkStart w:id="38" w:name="_Toc7753657"/>
      <w:r>
        <w:rPr>
          <w:rFonts w:cs="SimSun"/>
        </w:rPr>
        <w:t>SFI-alike indication via DCI Format 2_0</w:t>
      </w:r>
      <w:r>
        <w:rPr>
          <w:rFonts w:hint="eastAsia"/>
          <w:lang w:val="en-US" w:eastAsia="zh-CN"/>
        </w:rPr>
        <w:t xml:space="preserve"> </w:t>
      </w:r>
      <w:r>
        <w:rPr>
          <w:lang w:val="en-US" w:eastAsia="zh-CN"/>
        </w:rPr>
        <w:t>can be a star</w:t>
      </w:r>
      <w:r>
        <w:rPr>
          <w:rFonts w:hint="eastAsia"/>
          <w:lang w:val="en-US" w:eastAsia="zh-CN"/>
        </w:rPr>
        <w:t>t</w:t>
      </w:r>
      <w:r>
        <w:rPr>
          <w:lang w:val="en-US" w:eastAsia="zh-CN"/>
        </w:rPr>
        <w:t>ing point to design the soft DU resource availability indication</w:t>
      </w:r>
      <w:r>
        <w:rPr>
          <w:rFonts w:hint="eastAsia"/>
          <w:lang w:val="en-US" w:eastAsia="zh-CN"/>
        </w:rPr>
        <w:t>.</w:t>
      </w:r>
      <w:bookmarkEnd w:id="35"/>
      <w:bookmarkEnd w:id="36"/>
      <w:bookmarkEnd w:id="37"/>
      <w:bookmarkEnd w:id="38"/>
    </w:p>
    <w:p w14:paraId="54DFA68F" w14:textId="77777777" w:rsidR="00B960CB" w:rsidRDefault="00846CE0">
      <w:pPr>
        <w:pStyle w:val="Heading1"/>
        <w:spacing w:before="120" w:after="120"/>
        <w:ind w:left="0"/>
        <w:rPr>
          <w:rFonts w:eastAsia="SimSun"/>
        </w:rPr>
      </w:pPr>
      <w:r>
        <w:rPr>
          <w:rFonts w:eastAsia="SimSun" w:hint="eastAsia"/>
        </w:rPr>
        <w:t>Conclusion</w:t>
      </w:r>
    </w:p>
    <w:p w14:paraId="23058BD3" w14:textId="77777777" w:rsidR="00B960CB" w:rsidRDefault="00846CE0">
      <w:pPr>
        <w:spacing w:before="120" w:after="120"/>
        <w:rPr>
          <w:color w:val="0D0D0D"/>
          <w:sz w:val="20"/>
        </w:rPr>
      </w:pPr>
      <w:r>
        <w:rPr>
          <w:color w:val="0D0D0D"/>
          <w:sz w:val="20"/>
        </w:rPr>
        <w:t>Based on the discussion, we have the following proposals:</w:t>
      </w:r>
    </w:p>
    <w:p w14:paraId="12E62F82" w14:textId="77777777" w:rsidR="009F79DB" w:rsidRDefault="00846CE0">
      <w:pPr>
        <w:pStyle w:val="TOC1"/>
        <w:tabs>
          <w:tab w:val="left" w:pos="1320"/>
          <w:tab w:val="right" w:leader="dot" w:pos="9650"/>
        </w:tabs>
        <w:spacing w:before="120" w:after="120"/>
        <w:rPr>
          <w:rFonts w:asciiTheme="minorHAnsi" w:hAnsiTheme="minorHAnsi" w:cstheme="minorBidi"/>
          <w:b w:val="0"/>
          <w:i w:val="0"/>
          <w:noProof/>
          <w:kern w:val="0"/>
          <w:sz w:val="22"/>
          <w:szCs w:val="22"/>
        </w:rPr>
      </w:pPr>
      <w:r>
        <w:fldChar w:fldCharType="begin"/>
      </w:r>
      <w:r>
        <w:instrText>TOC \n  \t "YJ-Proposal,1,sub-proposal,2" \h</w:instrText>
      </w:r>
      <w:r>
        <w:fldChar w:fldCharType="separate"/>
      </w:r>
      <w:hyperlink w:anchor="_Toc7753650" w:history="1">
        <w:r w:rsidR="009F79DB" w:rsidRPr="002F2CDF">
          <w:rPr>
            <w:rStyle w:val="Hyperlink"/>
            <w:rFonts w:eastAsia="SimSun"/>
            <w:noProof/>
          </w:rPr>
          <w:t>Proposal 1:</w:t>
        </w:r>
        <w:r w:rsidR="009F79DB">
          <w:rPr>
            <w:rFonts w:asciiTheme="minorHAnsi" w:hAnsiTheme="minorHAnsi" w:cstheme="minorBidi"/>
            <w:b w:val="0"/>
            <w:i w:val="0"/>
            <w:noProof/>
            <w:kern w:val="0"/>
            <w:sz w:val="22"/>
            <w:szCs w:val="22"/>
          </w:rPr>
          <w:tab/>
        </w:r>
        <w:r w:rsidR="009F79DB" w:rsidRPr="002F2CDF">
          <w:rPr>
            <w:rStyle w:val="Hyperlink"/>
            <w:noProof/>
          </w:rPr>
          <w:t>An IAB or donor node is not expected to use its DU resources of type NA or soft (including both soft Available and soft INA) for cell-specific signals/channels on child link, where the cell-specific signals/channels include</w:t>
        </w:r>
      </w:hyperlink>
    </w:p>
    <w:p w14:paraId="23B94D9E" w14:textId="77777777" w:rsidR="009F79DB" w:rsidRDefault="009F79DB">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7753651" w:history="1">
        <w:r w:rsidRPr="002F2CD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2F2CDF">
          <w:rPr>
            <w:rStyle w:val="Hyperlink"/>
            <w:noProof/>
          </w:rPr>
          <w:t>SSB transmissions</w:t>
        </w:r>
      </w:hyperlink>
    </w:p>
    <w:p w14:paraId="16E37381" w14:textId="77777777" w:rsidR="009F79DB" w:rsidRDefault="009F79DB">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7753652" w:history="1">
        <w:r w:rsidRPr="002F2CD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2F2CDF">
          <w:rPr>
            <w:rStyle w:val="Hyperlink"/>
            <w:noProof/>
          </w:rPr>
          <w:t>PRACH occasions</w:t>
        </w:r>
      </w:hyperlink>
      <w:bookmarkStart w:id="39" w:name="_GoBack"/>
      <w:bookmarkEnd w:id="39"/>
    </w:p>
    <w:p w14:paraId="2ED2CBD2" w14:textId="77777777" w:rsidR="009F79DB" w:rsidRDefault="009F79DB">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7753653" w:history="1">
        <w:r w:rsidRPr="002F2CD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2F2CDF">
          <w:rPr>
            <w:rStyle w:val="Hyperlink"/>
            <w:noProof/>
          </w:rPr>
          <w:t>RMSI</w:t>
        </w:r>
      </w:hyperlink>
    </w:p>
    <w:p w14:paraId="67E1F45A" w14:textId="77777777" w:rsidR="009F79DB" w:rsidRDefault="009F79DB">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7753654" w:history="1">
        <w:r w:rsidRPr="002F2CDF">
          <w:rPr>
            <w:rStyle w:val="Hyperlink"/>
            <w:rFonts w:eastAsia="SimSun"/>
            <w:noProof/>
          </w:rPr>
          <w:t>Proposal 2:</w:t>
        </w:r>
        <w:r>
          <w:rPr>
            <w:rFonts w:asciiTheme="minorHAnsi" w:hAnsiTheme="minorHAnsi" w:cstheme="minorBidi"/>
            <w:b w:val="0"/>
            <w:i w:val="0"/>
            <w:noProof/>
            <w:kern w:val="0"/>
            <w:sz w:val="22"/>
            <w:szCs w:val="22"/>
          </w:rPr>
          <w:tab/>
        </w:r>
        <w:r w:rsidRPr="002F2CDF">
          <w:rPr>
            <w:rStyle w:val="Hyperlink"/>
            <w:noProof/>
          </w:rPr>
          <w:t>At least the information of Hard/Soft/NA configuration of the child node DU is necessary to be signaled to the IAB node.</w:t>
        </w:r>
      </w:hyperlink>
    </w:p>
    <w:p w14:paraId="62682252" w14:textId="77777777" w:rsidR="009F79DB" w:rsidRDefault="009F79DB">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7753655" w:history="1">
        <w:r w:rsidRPr="002F2CDF">
          <w:rPr>
            <w:rStyle w:val="Hyperlink"/>
            <w:rFonts w:eastAsia="SimSun"/>
            <w:noProof/>
          </w:rPr>
          <w:t>Proposal 3:</w:t>
        </w:r>
        <w:r>
          <w:rPr>
            <w:rFonts w:asciiTheme="minorHAnsi" w:hAnsiTheme="minorHAnsi" w:cstheme="minorBidi"/>
            <w:b w:val="0"/>
            <w:i w:val="0"/>
            <w:noProof/>
            <w:kern w:val="0"/>
            <w:sz w:val="22"/>
            <w:szCs w:val="22"/>
          </w:rPr>
          <w:tab/>
        </w:r>
        <w:r w:rsidRPr="002F2CDF">
          <w:rPr>
            <w:rStyle w:val="Hyperlink"/>
            <w:noProof/>
          </w:rPr>
          <w:t>For semi-static DU resource configuration, besides D/F/U configuration similar to NR Uu configuration, additional indication of H/S/NA is needed.</w:t>
        </w:r>
      </w:hyperlink>
    </w:p>
    <w:p w14:paraId="4FF986C5" w14:textId="77777777" w:rsidR="009F79DB" w:rsidRDefault="009F79DB">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7753656" w:history="1">
        <w:r w:rsidRPr="002F2CDF">
          <w:rPr>
            <w:rStyle w:val="Hyperlink"/>
            <w:rFonts w:eastAsia="SimSun"/>
            <w:noProof/>
          </w:rPr>
          <w:t>Proposal 4:</w:t>
        </w:r>
        <w:r>
          <w:rPr>
            <w:rFonts w:asciiTheme="minorHAnsi" w:hAnsiTheme="minorHAnsi" w:cstheme="minorBidi"/>
            <w:b w:val="0"/>
            <w:i w:val="0"/>
            <w:noProof/>
            <w:kern w:val="0"/>
            <w:sz w:val="22"/>
            <w:szCs w:val="22"/>
          </w:rPr>
          <w:tab/>
        </w:r>
        <w:r w:rsidRPr="002F2CDF">
          <w:rPr>
            <w:rStyle w:val="Hyperlink"/>
            <w:noProof/>
          </w:rPr>
          <w:t>IAB-node/IAB-donor DU resource configuration should be on a per DU basis.</w:t>
        </w:r>
      </w:hyperlink>
    </w:p>
    <w:p w14:paraId="32B40B62" w14:textId="77777777" w:rsidR="009F79DB" w:rsidRDefault="009F79DB">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7753657" w:history="1">
        <w:r w:rsidRPr="002F2CDF">
          <w:rPr>
            <w:rStyle w:val="Hyperlink"/>
            <w:rFonts w:eastAsia="SimSun"/>
            <w:noProof/>
          </w:rPr>
          <w:t>Proposal 5:</w:t>
        </w:r>
        <w:r>
          <w:rPr>
            <w:rFonts w:asciiTheme="minorHAnsi" w:hAnsiTheme="minorHAnsi" w:cstheme="minorBidi"/>
            <w:b w:val="0"/>
            <w:i w:val="0"/>
            <w:noProof/>
            <w:kern w:val="0"/>
            <w:sz w:val="22"/>
            <w:szCs w:val="22"/>
          </w:rPr>
          <w:tab/>
        </w:r>
        <w:r w:rsidRPr="002F2CDF">
          <w:rPr>
            <w:rStyle w:val="Hyperlink"/>
            <w:rFonts w:cs="SimSun"/>
            <w:noProof/>
          </w:rPr>
          <w:t>SFI-alike indication via DCI Format 2_0</w:t>
        </w:r>
        <w:r w:rsidRPr="002F2CDF">
          <w:rPr>
            <w:rStyle w:val="Hyperlink"/>
            <w:noProof/>
          </w:rPr>
          <w:t xml:space="preserve"> can be a starting point to design the soft DU resource availability indication.</w:t>
        </w:r>
      </w:hyperlink>
    </w:p>
    <w:p w14:paraId="6DA5A4C2" w14:textId="77777777" w:rsidR="00B960CB" w:rsidRDefault="00846CE0">
      <w:pPr>
        <w:pStyle w:val="TOC1"/>
        <w:tabs>
          <w:tab w:val="right" w:pos="9660"/>
        </w:tabs>
        <w:spacing w:before="120" w:after="120"/>
        <w:rPr>
          <w:sz w:val="21"/>
          <w:szCs w:val="22"/>
        </w:rPr>
      </w:pPr>
      <w:r>
        <w:fldChar w:fldCharType="end"/>
      </w:r>
    </w:p>
    <w:p w14:paraId="06AEA88E" w14:textId="77777777" w:rsidR="00B960CB" w:rsidRDefault="00846CE0">
      <w:pPr>
        <w:pStyle w:val="Heading1"/>
        <w:spacing w:before="120" w:after="120"/>
        <w:ind w:left="0"/>
        <w:rPr>
          <w:rFonts w:eastAsia="SimSun"/>
        </w:rPr>
      </w:pPr>
      <w:r>
        <w:rPr>
          <w:rFonts w:eastAsia="SimSun" w:hint="eastAsia"/>
        </w:rPr>
        <w:t>Reference</w:t>
      </w:r>
      <w:r>
        <w:rPr>
          <w:rFonts w:eastAsia="SimSun"/>
        </w:rPr>
        <w:t>s</w:t>
      </w:r>
    </w:p>
    <w:p w14:paraId="75850FA6" w14:textId="77777777" w:rsidR="00B960CB" w:rsidRDefault="00846CE0">
      <w:pPr>
        <w:pStyle w:val="References"/>
        <w:autoSpaceDE w:val="0"/>
        <w:autoSpaceDN w:val="0"/>
        <w:adjustRightInd w:val="0"/>
        <w:snapToGrid w:val="0"/>
        <w:spacing w:before="120" w:after="120"/>
        <w:rPr>
          <w:szCs w:val="20"/>
        </w:rPr>
      </w:pPr>
      <w:bookmarkStart w:id="40" w:name="_Ref17466"/>
      <w:r>
        <w:rPr>
          <w:rFonts w:hint="eastAsia"/>
          <w:szCs w:val="20"/>
        </w:rPr>
        <w:t>Chairman's Notes RAN1 96bis final</w:t>
      </w:r>
    </w:p>
    <w:p w14:paraId="0CB638C3" w14:textId="77777777" w:rsidR="00B960CB" w:rsidRDefault="00846CE0">
      <w:pPr>
        <w:pStyle w:val="References"/>
        <w:autoSpaceDE w:val="0"/>
        <w:autoSpaceDN w:val="0"/>
        <w:adjustRightInd w:val="0"/>
        <w:snapToGrid w:val="0"/>
        <w:spacing w:before="120" w:after="120"/>
        <w:rPr>
          <w:szCs w:val="20"/>
        </w:rPr>
      </w:pPr>
      <w:r>
        <w:rPr>
          <w:rFonts w:hint="eastAsia"/>
          <w:szCs w:val="20"/>
        </w:rPr>
        <w:t>Chairman's Notes RAN1 95 final</w:t>
      </w:r>
    </w:p>
    <w:p w14:paraId="45AC4238" w14:textId="77777777" w:rsidR="00B960CB" w:rsidRDefault="00846CE0">
      <w:pPr>
        <w:pStyle w:val="References"/>
        <w:autoSpaceDE w:val="0"/>
        <w:autoSpaceDN w:val="0"/>
        <w:adjustRightInd w:val="0"/>
        <w:snapToGrid w:val="0"/>
        <w:spacing w:before="120" w:after="120"/>
        <w:rPr>
          <w:szCs w:val="20"/>
        </w:rPr>
      </w:pPr>
      <w:r>
        <w:rPr>
          <w:rFonts w:hint="eastAsia"/>
          <w:szCs w:val="20"/>
        </w:rPr>
        <w:t>Chairman's Notes RAN1#96 final</w:t>
      </w:r>
      <w:bookmarkStart w:id="41" w:name="_Ref8297"/>
      <w:bookmarkEnd w:id="40"/>
      <w:r>
        <w:rPr>
          <w:rFonts w:hint="eastAsia"/>
          <w:szCs w:val="20"/>
        </w:rPr>
        <w:t xml:space="preserve"> </w:t>
      </w:r>
      <w:bookmarkEnd w:id="41"/>
    </w:p>
    <w:sectPr w:rsidR="00B960CB">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A54BD" w14:textId="77777777" w:rsidR="00CD346A" w:rsidRDefault="00CD346A">
      <w:pPr>
        <w:spacing w:before="120" w:after="120" w:line="240" w:lineRule="auto"/>
      </w:pPr>
      <w:r>
        <w:separator/>
      </w:r>
    </w:p>
  </w:endnote>
  <w:endnote w:type="continuationSeparator" w:id="0">
    <w:p w14:paraId="011AA7A4" w14:textId="77777777" w:rsidR="00CD346A" w:rsidRDefault="00CD346A">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BF0B8" w14:textId="77777777" w:rsidR="00B960CB" w:rsidRDefault="00B960CB">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370728"/>
    </w:sdtPr>
    <w:sdtEndPr/>
    <w:sdtContent>
      <w:p w14:paraId="51F3BCC8" w14:textId="77777777" w:rsidR="00B960CB" w:rsidRDefault="00846CE0">
        <w:pPr>
          <w:pStyle w:val="Footer"/>
          <w:spacing w:before="120" w:after="120"/>
          <w:jc w:val="center"/>
        </w:pPr>
        <w:r>
          <w:fldChar w:fldCharType="begin"/>
        </w:r>
        <w:r>
          <w:instrText xml:space="preserve"> PAGE   \* MERGEFORMAT </w:instrText>
        </w:r>
        <w:r>
          <w:fldChar w:fldCharType="separate"/>
        </w:r>
        <w:r w:rsidR="009F79DB">
          <w:rPr>
            <w:noProof/>
          </w:rPr>
          <w:t>2</w:t>
        </w:r>
        <w:r>
          <w:fldChar w:fldCharType="end"/>
        </w:r>
      </w:p>
    </w:sdtContent>
  </w:sdt>
  <w:p w14:paraId="0E9E2C5C" w14:textId="77777777" w:rsidR="00B960CB" w:rsidRDefault="00B960CB">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31CB2" w14:textId="77777777" w:rsidR="00B960CB" w:rsidRDefault="00B960CB">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D7238" w14:textId="77777777" w:rsidR="00CD346A" w:rsidRDefault="00CD346A">
      <w:pPr>
        <w:spacing w:before="120" w:after="120" w:line="240" w:lineRule="auto"/>
      </w:pPr>
      <w:r>
        <w:separator/>
      </w:r>
    </w:p>
  </w:footnote>
  <w:footnote w:type="continuationSeparator" w:id="0">
    <w:p w14:paraId="21AE5288" w14:textId="77777777" w:rsidR="00CD346A" w:rsidRDefault="00CD346A">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1C75C" w14:textId="77777777" w:rsidR="00B960CB" w:rsidRDefault="00B960CB">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F65B1" w14:textId="77777777" w:rsidR="00B960CB" w:rsidRDefault="00B960CB">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E1C05" w14:textId="77777777" w:rsidR="00B960CB" w:rsidRDefault="00B960CB">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4">
    <w:nsid w:val="387D606E"/>
    <w:multiLevelType w:val="multilevel"/>
    <w:tmpl w:val="387D6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64C1D99"/>
    <w:multiLevelType w:val="multilevel"/>
    <w:tmpl w:val="464C1D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F9120FE"/>
    <w:multiLevelType w:val="multilevel"/>
    <w:tmpl w:val="4F912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7064371"/>
    <w:multiLevelType w:val="hybridMultilevel"/>
    <w:tmpl w:val="02304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107AED"/>
    <w:multiLevelType w:val="multilevel"/>
    <w:tmpl w:val="6F107A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7E274A0"/>
    <w:multiLevelType w:val="multilevel"/>
    <w:tmpl w:val="77E27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0"/>
  </w:num>
  <w:num w:numId="6">
    <w:abstractNumId w:val="9"/>
  </w:num>
  <w:num w:numId="7">
    <w:abstractNumId w:val="7"/>
  </w:num>
  <w:num w:numId="8">
    <w:abstractNumId w:val="6"/>
  </w:num>
  <w:num w:numId="9">
    <w:abstractNumId w:val="4"/>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bordersDoNotSurroundHeader/>
  <w:bordersDoNotSurroundFooter/>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823"/>
    <w:rsid w:val="000211D3"/>
    <w:rsid w:val="0006680D"/>
    <w:rsid w:val="000752B5"/>
    <w:rsid w:val="000C09A2"/>
    <w:rsid w:val="000E46C7"/>
    <w:rsid w:val="001228F2"/>
    <w:rsid w:val="00126EB2"/>
    <w:rsid w:val="00141924"/>
    <w:rsid w:val="00146B79"/>
    <w:rsid w:val="00172A27"/>
    <w:rsid w:val="001804E8"/>
    <w:rsid w:val="001E6D7D"/>
    <w:rsid w:val="00200D24"/>
    <w:rsid w:val="002169E4"/>
    <w:rsid w:val="00223DC0"/>
    <w:rsid w:val="00236583"/>
    <w:rsid w:val="002643D9"/>
    <w:rsid w:val="00264D55"/>
    <w:rsid w:val="002978DA"/>
    <w:rsid w:val="002A6AFE"/>
    <w:rsid w:val="002A6F4F"/>
    <w:rsid w:val="002F7A6E"/>
    <w:rsid w:val="00317E2A"/>
    <w:rsid w:val="00324B08"/>
    <w:rsid w:val="00333D4C"/>
    <w:rsid w:val="00377131"/>
    <w:rsid w:val="003C0396"/>
    <w:rsid w:val="0040587F"/>
    <w:rsid w:val="004133E7"/>
    <w:rsid w:val="00413CC5"/>
    <w:rsid w:val="0045041F"/>
    <w:rsid w:val="004831E0"/>
    <w:rsid w:val="00502A02"/>
    <w:rsid w:val="005374F0"/>
    <w:rsid w:val="005E7E4A"/>
    <w:rsid w:val="006026D8"/>
    <w:rsid w:val="00627E76"/>
    <w:rsid w:val="0067290E"/>
    <w:rsid w:val="00673AF3"/>
    <w:rsid w:val="006B2982"/>
    <w:rsid w:val="006C4F7D"/>
    <w:rsid w:val="006E36D1"/>
    <w:rsid w:val="006E7B58"/>
    <w:rsid w:val="006F5A78"/>
    <w:rsid w:val="0070004E"/>
    <w:rsid w:val="00723B08"/>
    <w:rsid w:val="00736E52"/>
    <w:rsid w:val="00761FFA"/>
    <w:rsid w:val="0078385C"/>
    <w:rsid w:val="007E0785"/>
    <w:rsid w:val="007F6F41"/>
    <w:rsid w:val="008275FD"/>
    <w:rsid w:val="00846CE0"/>
    <w:rsid w:val="008670EA"/>
    <w:rsid w:val="00892A1F"/>
    <w:rsid w:val="00917F0F"/>
    <w:rsid w:val="0095588B"/>
    <w:rsid w:val="0096436E"/>
    <w:rsid w:val="009A5687"/>
    <w:rsid w:val="009D1604"/>
    <w:rsid w:val="009D7C17"/>
    <w:rsid w:val="009E7A0E"/>
    <w:rsid w:val="009F775B"/>
    <w:rsid w:val="009F79DB"/>
    <w:rsid w:val="00A064B1"/>
    <w:rsid w:val="00A91137"/>
    <w:rsid w:val="00AB4238"/>
    <w:rsid w:val="00AE2D55"/>
    <w:rsid w:val="00B0295B"/>
    <w:rsid w:val="00B46DEE"/>
    <w:rsid w:val="00B83A0B"/>
    <w:rsid w:val="00B960CB"/>
    <w:rsid w:val="00C04704"/>
    <w:rsid w:val="00C8408D"/>
    <w:rsid w:val="00CD346A"/>
    <w:rsid w:val="00CF5197"/>
    <w:rsid w:val="00D26842"/>
    <w:rsid w:val="00D3570A"/>
    <w:rsid w:val="00D409F5"/>
    <w:rsid w:val="00D60DEC"/>
    <w:rsid w:val="00D74C3A"/>
    <w:rsid w:val="00DB2C6E"/>
    <w:rsid w:val="00DE0132"/>
    <w:rsid w:val="00DE52F2"/>
    <w:rsid w:val="00E3501D"/>
    <w:rsid w:val="00E36C60"/>
    <w:rsid w:val="00E377DC"/>
    <w:rsid w:val="00E6093B"/>
    <w:rsid w:val="00E62F56"/>
    <w:rsid w:val="00E731D6"/>
    <w:rsid w:val="00EE4F87"/>
    <w:rsid w:val="00EF5864"/>
    <w:rsid w:val="00F9437F"/>
    <w:rsid w:val="00FE73BA"/>
    <w:rsid w:val="015F4F52"/>
    <w:rsid w:val="024D6B6A"/>
    <w:rsid w:val="029B04E7"/>
    <w:rsid w:val="03073BDC"/>
    <w:rsid w:val="0555228E"/>
    <w:rsid w:val="05E078B3"/>
    <w:rsid w:val="06755086"/>
    <w:rsid w:val="067E03E9"/>
    <w:rsid w:val="09F0660A"/>
    <w:rsid w:val="09F67CD5"/>
    <w:rsid w:val="0A780CB7"/>
    <w:rsid w:val="0B9E71DF"/>
    <w:rsid w:val="0EC15507"/>
    <w:rsid w:val="14DA3DA1"/>
    <w:rsid w:val="1A054259"/>
    <w:rsid w:val="1B7F6005"/>
    <w:rsid w:val="1C132CB9"/>
    <w:rsid w:val="1CCC26CA"/>
    <w:rsid w:val="1E9D6342"/>
    <w:rsid w:val="203776BD"/>
    <w:rsid w:val="25134332"/>
    <w:rsid w:val="282B4A0B"/>
    <w:rsid w:val="28AA1938"/>
    <w:rsid w:val="29FA7F26"/>
    <w:rsid w:val="2E613D3B"/>
    <w:rsid w:val="2F1251F2"/>
    <w:rsid w:val="307A1D01"/>
    <w:rsid w:val="30962F3E"/>
    <w:rsid w:val="30FF2795"/>
    <w:rsid w:val="311A5308"/>
    <w:rsid w:val="35BC49CC"/>
    <w:rsid w:val="361F3323"/>
    <w:rsid w:val="36B81B40"/>
    <w:rsid w:val="36E93760"/>
    <w:rsid w:val="3784394E"/>
    <w:rsid w:val="3ACB5746"/>
    <w:rsid w:val="3BB20883"/>
    <w:rsid w:val="3DAC46B0"/>
    <w:rsid w:val="3EEF241E"/>
    <w:rsid w:val="3FC956FF"/>
    <w:rsid w:val="41F466FD"/>
    <w:rsid w:val="440D5045"/>
    <w:rsid w:val="45140612"/>
    <w:rsid w:val="45BE6191"/>
    <w:rsid w:val="460C5979"/>
    <w:rsid w:val="46EE70DB"/>
    <w:rsid w:val="473966B8"/>
    <w:rsid w:val="47C01792"/>
    <w:rsid w:val="4808150F"/>
    <w:rsid w:val="492F567F"/>
    <w:rsid w:val="4A1F0383"/>
    <w:rsid w:val="4A7C0FE4"/>
    <w:rsid w:val="4AC31003"/>
    <w:rsid w:val="4AE93159"/>
    <w:rsid w:val="4DEC0985"/>
    <w:rsid w:val="4E27683A"/>
    <w:rsid w:val="4F285975"/>
    <w:rsid w:val="4F6944FA"/>
    <w:rsid w:val="4F6C6EDC"/>
    <w:rsid w:val="51372EE9"/>
    <w:rsid w:val="51867298"/>
    <w:rsid w:val="52DC63C7"/>
    <w:rsid w:val="52E04D27"/>
    <w:rsid w:val="53DB3477"/>
    <w:rsid w:val="55DD6F2A"/>
    <w:rsid w:val="57FC07D9"/>
    <w:rsid w:val="58500F22"/>
    <w:rsid w:val="5B265AA3"/>
    <w:rsid w:val="5B3602BA"/>
    <w:rsid w:val="5C6B1600"/>
    <w:rsid w:val="5DFD51DB"/>
    <w:rsid w:val="607C3753"/>
    <w:rsid w:val="60C30855"/>
    <w:rsid w:val="61421EFD"/>
    <w:rsid w:val="615C5041"/>
    <w:rsid w:val="63037130"/>
    <w:rsid w:val="664805B8"/>
    <w:rsid w:val="66E77137"/>
    <w:rsid w:val="6C89456C"/>
    <w:rsid w:val="6DD25BF5"/>
    <w:rsid w:val="6FA629D4"/>
    <w:rsid w:val="705F60FB"/>
    <w:rsid w:val="79B72E4E"/>
    <w:rsid w:val="79D33056"/>
    <w:rsid w:val="79D44272"/>
    <w:rsid w:val="7B7A48EC"/>
    <w:rsid w:val="7C26369C"/>
    <w:rsid w:val="7C9E5A24"/>
    <w:rsid w:val="7D62117D"/>
    <w:rsid w:val="7E3E1EF2"/>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8DAE634-F2D1-43F0-8CBC-E6DECD84F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beforeLines="50" w:afterLines="50"/>
      <w:jc w:val="both"/>
    </w:pPr>
    <w:rPr>
      <w:rFonts w:eastAsia="SimSun"/>
      <w:kern w:val="2"/>
      <w:sz w:val="21"/>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rPr>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tabs>
        <w:tab w:val="center" w:pos="4680"/>
        <w:tab w:val="right" w:pos="9360"/>
      </w:tabs>
    </w:pPr>
  </w:style>
  <w:style w:type="paragraph" w:styleId="TOC1">
    <w:name w:val="toc 1"/>
    <w:basedOn w:val="Normal"/>
    <w:next w:val="Normal"/>
    <w:uiPriority w:val="39"/>
    <w:unhideWhenUsed/>
    <w:qFormat/>
    <w:rPr>
      <w:rFonts w:eastAsiaTheme="minorEastAsia"/>
      <w:b/>
      <w:i/>
      <w:sz w:val="20"/>
    </w:rPr>
  </w:style>
  <w:style w:type="paragraph" w:styleId="TOC2">
    <w:name w:val="toc 2"/>
    <w:basedOn w:val="Normal"/>
    <w:next w:val="Normal"/>
    <w:uiPriority w:val="39"/>
    <w:unhideWhenUsed/>
    <w:qFormat/>
    <w:pPr>
      <w:ind w:leftChars="200" w:left="420"/>
    </w:pPr>
    <w:rPr>
      <w:b/>
      <w:i/>
      <w:sz w:val="20"/>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99"/>
    <w:semiHidden/>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Proposal">
    <w:name w:val="YJ-Proposal"/>
    <w:basedOn w:val="Normal"/>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Normal"/>
    <w:qFormat/>
    <w:pPr>
      <w:numPr>
        <w:numId w:val="4"/>
      </w:numPr>
      <w:spacing w:after="60"/>
    </w:pPr>
    <w:rPr>
      <w:szCs w:val="16"/>
    </w:rPr>
  </w:style>
  <w:style w:type="paragraph" w:styleId="ListParagraph">
    <w:name w:val="List Paragraph"/>
    <w:basedOn w:val="Normal"/>
    <w:uiPriority w:val="34"/>
    <w:qFormat/>
    <w:pPr>
      <w:spacing w:beforeLines="0"/>
      <w:ind w:left="720"/>
      <w:contextualSpacing/>
    </w:pPr>
    <w:rPr>
      <w:rFonts w:eastAsia="Times New Roman"/>
      <w:sz w:val="24"/>
      <w:szCs w:val="24"/>
    </w:rPr>
  </w:style>
  <w:style w:type="paragraph" w:customStyle="1" w:styleId="sub-proposal">
    <w:name w:val="sub-proposal"/>
    <w:basedOn w:val="YJ-Proposal"/>
    <w:next w:val="Normal"/>
    <w:qFormat/>
    <w:pPr>
      <w:numPr>
        <w:numId w:val="5"/>
      </w:numPr>
    </w:pPr>
  </w:style>
  <w:style w:type="character" w:customStyle="1" w:styleId="DocumentMapChar">
    <w:name w:val="Document Map Char"/>
    <w:basedOn w:val="DefaultParagraphFont"/>
    <w:link w:val="DocumentMap"/>
    <w:uiPriority w:val="99"/>
    <w:semiHidden/>
    <w:qFormat/>
    <w:rPr>
      <w:rFonts w:ascii="SimSun" w:eastAsia="SimSun"/>
      <w:kern w:val="2"/>
      <w:sz w:val="18"/>
      <w:szCs w:val="18"/>
    </w:rPr>
  </w:style>
  <w:style w:type="character" w:customStyle="1" w:styleId="HeaderChar">
    <w:name w:val="Header Char"/>
    <w:basedOn w:val="DefaultParagraphFont"/>
    <w:link w:val="Header"/>
    <w:semiHidden/>
    <w:qFormat/>
    <w:rPr>
      <w:rFonts w:eastAsia="SimSun"/>
      <w:kern w:val="2"/>
      <w:sz w:val="21"/>
    </w:rPr>
  </w:style>
  <w:style w:type="character" w:customStyle="1" w:styleId="FooterChar">
    <w:name w:val="Footer Char"/>
    <w:basedOn w:val="DefaultParagraphFont"/>
    <w:link w:val="Footer"/>
    <w:uiPriority w:val="99"/>
    <w:qFormat/>
    <w:rPr>
      <w:rFonts w:eastAsia="SimSun"/>
      <w:kern w:val="2"/>
      <w:sz w:val="18"/>
      <w:szCs w:val="18"/>
    </w:rPr>
  </w:style>
  <w:style w:type="character" w:customStyle="1" w:styleId="CommentTextChar">
    <w:name w:val="Comment Text Char"/>
    <w:basedOn w:val="DefaultParagraphFont"/>
    <w:link w:val="CommentText"/>
    <w:uiPriority w:val="99"/>
    <w:semiHidden/>
    <w:qFormat/>
    <w:rPr>
      <w:rFonts w:eastAsia="SimSun"/>
      <w:kern w:val="2"/>
    </w:rPr>
  </w:style>
  <w:style w:type="character" w:customStyle="1" w:styleId="CommentSubjectChar">
    <w:name w:val="Comment Subject Char"/>
    <w:basedOn w:val="CommentTextChar"/>
    <w:link w:val="CommentSubject"/>
    <w:uiPriority w:val="99"/>
    <w:semiHidden/>
    <w:qFormat/>
    <w:rPr>
      <w:rFonts w:eastAsia="SimSun"/>
      <w:b/>
      <w:bCs/>
      <w:kern w:val="2"/>
    </w:rPr>
  </w:style>
  <w:style w:type="character" w:customStyle="1" w:styleId="BalloonTextChar">
    <w:name w:val="Balloon Text Char"/>
    <w:basedOn w:val="DefaultParagraphFont"/>
    <w:link w:val="BalloonText"/>
    <w:uiPriority w:val="99"/>
    <w:semiHidden/>
    <w:qFormat/>
    <w:rPr>
      <w:rFonts w:ascii="Segoe UI" w:eastAsia="SimSun" w:hAnsi="Segoe UI" w:cs="Segoe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4294967215</TotalTime>
  <Pages>5</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43</cp:revision>
  <dcterms:created xsi:type="dcterms:W3CDTF">2019-04-30T08:47:00Z</dcterms:created>
  <dcterms:modified xsi:type="dcterms:W3CDTF">2019-05-03T10:28:00Z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